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16DD" w14:textId="77777777" w:rsidR="0099562B" w:rsidRDefault="0099562B"/>
    <w:p w14:paraId="7476DF6B" w14:textId="77777777" w:rsidR="00CC054F" w:rsidRDefault="00CC054F"/>
    <w:p w14:paraId="0F66027C" w14:textId="77777777" w:rsidR="00CC054F" w:rsidRPr="005A2149" w:rsidRDefault="00CC054F" w:rsidP="00CC054F">
      <w:pPr>
        <w:jc w:val="center"/>
        <w:rPr>
          <w:b/>
          <w:sz w:val="28"/>
          <w:szCs w:val="28"/>
        </w:rPr>
      </w:pPr>
      <w:r w:rsidRPr="005A2149">
        <w:rPr>
          <w:b/>
          <w:sz w:val="28"/>
          <w:szCs w:val="28"/>
        </w:rPr>
        <w:t>The Central Finance Board of the Methodist Church</w:t>
      </w:r>
    </w:p>
    <w:p w14:paraId="577A1734" w14:textId="77777777" w:rsidR="00CC054F" w:rsidRPr="005A2149" w:rsidRDefault="00CC054F" w:rsidP="00CC054F">
      <w:pPr>
        <w:jc w:val="center"/>
        <w:rPr>
          <w:b/>
          <w:sz w:val="24"/>
          <w:szCs w:val="24"/>
        </w:rPr>
      </w:pPr>
      <w:r w:rsidRPr="005A2149">
        <w:rPr>
          <w:b/>
          <w:sz w:val="24"/>
          <w:szCs w:val="24"/>
        </w:rPr>
        <w:t xml:space="preserve">Rules for the administration, valuation and investment of the Funds established under the </w:t>
      </w:r>
    </w:p>
    <w:p w14:paraId="01D8FCA9" w14:textId="77777777" w:rsidR="00CC054F" w:rsidRPr="005A2149" w:rsidRDefault="00CC054F" w:rsidP="00CC054F">
      <w:pPr>
        <w:jc w:val="center"/>
        <w:rPr>
          <w:b/>
          <w:sz w:val="24"/>
          <w:szCs w:val="24"/>
        </w:rPr>
      </w:pPr>
      <w:r w:rsidRPr="005A2149">
        <w:rPr>
          <w:b/>
          <w:sz w:val="24"/>
          <w:szCs w:val="24"/>
        </w:rPr>
        <w:t>Methodist Church Funds Act 1960</w:t>
      </w:r>
    </w:p>
    <w:p w14:paraId="7C619FE8" w14:textId="77777777" w:rsidR="00CC054F" w:rsidRDefault="000153B7" w:rsidP="00CC054F">
      <w:pPr>
        <w:spacing w:after="0"/>
        <w:jc w:val="center"/>
      </w:pPr>
      <w:r>
        <w:t>Approved</w:t>
      </w:r>
      <w:r w:rsidR="00CC054F">
        <w:t xml:space="preserve"> at the meeting of members of the </w:t>
      </w:r>
    </w:p>
    <w:p w14:paraId="4840702F" w14:textId="77777777" w:rsidR="00EF41A2" w:rsidRDefault="00CC054F" w:rsidP="00157AB8">
      <w:pPr>
        <w:spacing w:after="0"/>
        <w:jc w:val="center"/>
      </w:pPr>
      <w:r>
        <w:t>Central Finance Board Council on 11</w:t>
      </w:r>
      <w:r w:rsidRPr="00CC054F">
        <w:rPr>
          <w:vertAlign w:val="superscript"/>
        </w:rPr>
        <w:t>th</w:t>
      </w:r>
      <w:r w:rsidR="00157AB8">
        <w:t xml:space="preserve"> July 2018</w:t>
      </w:r>
    </w:p>
    <w:p w14:paraId="1249AEBC" w14:textId="48083342" w:rsidR="00334149" w:rsidRDefault="000153B7" w:rsidP="001C1728">
      <w:pPr>
        <w:spacing w:after="0"/>
        <w:jc w:val="center"/>
      </w:pPr>
      <w:r>
        <w:t>As amended 27</w:t>
      </w:r>
      <w:r w:rsidRPr="6341E0E9">
        <w:rPr>
          <w:vertAlign w:val="superscript"/>
        </w:rPr>
        <w:t>th</w:t>
      </w:r>
      <w:r>
        <w:t xml:space="preserve"> May 2019</w:t>
      </w:r>
      <w:r w:rsidR="001C1728">
        <w:t xml:space="preserve">, </w:t>
      </w:r>
      <w:r w:rsidR="00780C4F">
        <w:t>4</w:t>
      </w:r>
      <w:r w:rsidR="00780C4F" w:rsidRPr="6341E0E9">
        <w:rPr>
          <w:vertAlign w:val="superscript"/>
        </w:rPr>
        <w:t>th</w:t>
      </w:r>
      <w:r w:rsidR="00780C4F">
        <w:t xml:space="preserve"> September 2019</w:t>
      </w:r>
      <w:r w:rsidR="00B722F9">
        <w:t>,</w:t>
      </w:r>
      <w:r w:rsidR="001C1728">
        <w:t xml:space="preserve"> </w:t>
      </w:r>
      <w:r w:rsidR="00866789">
        <w:t xml:space="preserve">5 September </w:t>
      </w:r>
      <w:r w:rsidR="00C37E28">
        <w:t>2020,</w:t>
      </w:r>
      <w:r w:rsidR="001C1728">
        <w:t xml:space="preserve"> </w:t>
      </w:r>
      <w:r w:rsidR="00B722F9">
        <w:t>23</w:t>
      </w:r>
      <w:r w:rsidR="00B722F9" w:rsidRPr="6341E0E9">
        <w:rPr>
          <w:vertAlign w:val="superscript"/>
        </w:rPr>
        <w:t>rd</w:t>
      </w:r>
      <w:r w:rsidR="00B722F9">
        <w:t xml:space="preserve"> February 2021</w:t>
      </w:r>
      <w:r w:rsidR="001C1728">
        <w:t xml:space="preserve">, </w:t>
      </w:r>
      <w:r w:rsidR="008B48CC">
        <w:t>9th February 2022</w:t>
      </w:r>
      <w:r w:rsidR="00300809">
        <w:t>, 27th September 2022</w:t>
      </w:r>
      <w:r w:rsidR="005A29A2">
        <w:t>,</w:t>
      </w:r>
      <w:r w:rsidR="008C7946">
        <w:t xml:space="preserve"> 21</w:t>
      </w:r>
      <w:r w:rsidR="008C7946" w:rsidRPr="6341E0E9">
        <w:rPr>
          <w:vertAlign w:val="superscript"/>
        </w:rPr>
        <w:t>st</w:t>
      </w:r>
      <w:r w:rsidR="008C7946">
        <w:t xml:space="preserve"> September 2023</w:t>
      </w:r>
      <w:r w:rsidR="0029013F">
        <w:t xml:space="preserve">, </w:t>
      </w:r>
      <w:r w:rsidR="0021522A">
        <w:t>2</w:t>
      </w:r>
      <w:r w:rsidR="005A29A2">
        <w:t>0</w:t>
      </w:r>
      <w:r w:rsidR="005A29A2" w:rsidRPr="6341E0E9">
        <w:rPr>
          <w:vertAlign w:val="superscript"/>
        </w:rPr>
        <w:t>th</w:t>
      </w:r>
      <w:r w:rsidR="005A29A2">
        <w:t xml:space="preserve"> January </w:t>
      </w:r>
      <w:proofErr w:type="gramStart"/>
      <w:r w:rsidR="005A29A2">
        <w:t>2024</w:t>
      </w:r>
      <w:r w:rsidR="7C6153AF">
        <w:t xml:space="preserve">, </w:t>
      </w:r>
      <w:r w:rsidR="0029013F">
        <w:t xml:space="preserve"> 7</w:t>
      </w:r>
      <w:proofErr w:type="gramEnd"/>
      <w:r w:rsidR="0029013F" w:rsidRPr="6341E0E9">
        <w:rPr>
          <w:vertAlign w:val="superscript"/>
        </w:rPr>
        <w:t>th</w:t>
      </w:r>
      <w:r w:rsidR="0029013F">
        <w:t xml:space="preserve"> October 2024</w:t>
      </w:r>
      <w:r w:rsidR="7A8B1788">
        <w:t>,</w:t>
      </w:r>
      <w:r w:rsidR="00DC27A4">
        <w:t xml:space="preserve"> </w:t>
      </w:r>
      <w:r w:rsidR="00A83CCF">
        <w:t>25</w:t>
      </w:r>
      <w:r w:rsidR="00A83CCF" w:rsidRPr="6341E0E9">
        <w:rPr>
          <w:vertAlign w:val="superscript"/>
        </w:rPr>
        <w:t>th</w:t>
      </w:r>
      <w:r w:rsidR="00A83CCF">
        <w:t xml:space="preserve"> </w:t>
      </w:r>
      <w:r w:rsidR="00334149">
        <w:t>August 2025</w:t>
      </w:r>
      <w:r w:rsidR="62588586">
        <w:t>,</w:t>
      </w:r>
      <w:r w:rsidR="401C5C80">
        <w:t xml:space="preserve"> </w:t>
      </w:r>
      <w:r w:rsidR="002367BF">
        <w:t>27</w:t>
      </w:r>
      <w:proofErr w:type="gramStart"/>
      <w:r w:rsidR="002367BF" w:rsidRPr="6341E0E9">
        <w:rPr>
          <w:vertAlign w:val="superscript"/>
        </w:rPr>
        <w:t>th</w:t>
      </w:r>
      <w:r w:rsidR="00330D04">
        <w:t xml:space="preserve"> </w:t>
      </w:r>
      <w:r w:rsidR="401C5C80">
        <w:t xml:space="preserve"> November</w:t>
      </w:r>
      <w:proofErr w:type="gramEnd"/>
      <w:r w:rsidR="401C5C80">
        <w:t xml:space="preserve"> 2025</w:t>
      </w:r>
      <w:r w:rsidR="35A9AA6B">
        <w:t xml:space="preserve"> and 4th March 2026</w:t>
      </w:r>
    </w:p>
    <w:p w14:paraId="4F7EB86F" w14:textId="77777777" w:rsidR="00EF41A2" w:rsidRDefault="00EF41A2" w:rsidP="00140E23">
      <w:pPr>
        <w:spacing w:after="0"/>
      </w:pPr>
    </w:p>
    <w:p w14:paraId="4B76695E" w14:textId="77777777" w:rsidR="007D3A59" w:rsidRPr="00FA6EF2" w:rsidRDefault="00EF41A2" w:rsidP="005A2149">
      <w:pPr>
        <w:pStyle w:val="ListParagraph"/>
        <w:numPr>
          <w:ilvl w:val="0"/>
          <w:numId w:val="2"/>
        </w:numPr>
        <w:spacing w:after="0" w:line="240" w:lineRule="auto"/>
        <w:jc w:val="both"/>
        <w:rPr>
          <w:b/>
        </w:rPr>
      </w:pPr>
      <w:r w:rsidRPr="00FA6EF2">
        <w:rPr>
          <w:b/>
        </w:rPr>
        <w:t>Introduction – The Central Finance Board</w:t>
      </w:r>
    </w:p>
    <w:p w14:paraId="18B51C55" w14:textId="77777777" w:rsidR="00FB7974" w:rsidRDefault="00FB7974" w:rsidP="005A2149">
      <w:pPr>
        <w:spacing w:after="0" w:line="240" w:lineRule="auto"/>
        <w:jc w:val="both"/>
      </w:pPr>
    </w:p>
    <w:p w14:paraId="770CB2E8" w14:textId="66AEFD40" w:rsidR="00FB7974" w:rsidRDefault="00FB7974" w:rsidP="00E46A75">
      <w:pPr>
        <w:spacing w:after="0" w:line="240" w:lineRule="auto"/>
        <w:jc w:val="both"/>
      </w:pPr>
      <w:r>
        <w:t>The Central Finance Board of the Methodist Church (CFB) was established by the Methodist Church Funds Act 1960</w:t>
      </w:r>
      <w:r w:rsidR="00EF41A2">
        <w:t xml:space="preserve"> (the Act)</w:t>
      </w:r>
      <w:r w:rsidR="006306D5">
        <w:t>. It is</w:t>
      </w:r>
      <w:r>
        <w:t xml:space="preserve"> a statutory body with no shareholders. The governing body of the CFB is it</w:t>
      </w:r>
      <w:r w:rsidR="00317935">
        <w:t>s Board whose membership consists of</w:t>
      </w:r>
      <w:r>
        <w:t xml:space="preserve"> ex-officio </w:t>
      </w:r>
      <w:r w:rsidR="00317935">
        <w:t>appointments</w:t>
      </w:r>
      <w:r>
        <w:t xml:space="preserve"> from the leadership of the Methodist Church, representatives of each District in Methodism and others appointed by the Methodist Conference. The </w:t>
      </w:r>
      <w:r w:rsidR="007F405B">
        <w:t xml:space="preserve">main </w:t>
      </w:r>
      <w:r>
        <w:t xml:space="preserve">role of the </w:t>
      </w:r>
      <w:r w:rsidR="00317935">
        <w:t>Board</w:t>
      </w:r>
      <w:r>
        <w:t xml:space="preserve"> is to approve the annual report and accounts and appoint</w:t>
      </w:r>
      <w:r w:rsidR="00317935">
        <w:t xml:space="preserve"> the Council of the CFB. The Council</w:t>
      </w:r>
      <w:r>
        <w:t xml:space="preserve"> has oversight of the </w:t>
      </w:r>
      <w:r w:rsidR="00DC27A4">
        <w:t>day-to-day</w:t>
      </w:r>
      <w:r>
        <w:t xml:space="preserve"> activities of the CFB, </w:t>
      </w:r>
      <w:r w:rsidR="00EE5AC2">
        <w:t xml:space="preserve">it </w:t>
      </w:r>
      <w:r>
        <w:t xml:space="preserve">consists of up to 12 members and </w:t>
      </w:r>
      <w:r w:rsidR="008A11DF">
        <w:t xml:space="preserve">currently </w:t>
      </w:r>
      <w:r>
        <w:t xml:space="preserve">meets </w:t>
      </w:r>
      <w:r w:rsidR="00C37E28">
        <w:t xml:space="preserve">4 </w:t>
      </w:r>
      <w:r>
        <w:t>times a year.</w:t>
      </w:r>
    </w:p>
    <w:p w14:paraId="3D3859CE" w14:textId="77777777" w:rsidR="00317935" w:rsidRDefault="00317935" w:rsidP="00E46A75">
      <w:pPr>
        <w:spacing w:after="0" w:line="240" w:lineRule="auto"/>
        <w:jc w:val="both"/>
      </w:pPr>
    </w:p>
    <w:p w14:paraId="35DA007D" w14:textId="77777777" w:rsidR="00317935" w:rsidRDefault="00317935" w:rsidP="00E46A75">
      <w:pPr>
        <w:spacing w:after="0" w:line="240" w:lineRule="auto"/>
        <w:jc w:val="both"/>
      </w:pPr>
      <w:r>
        <w:t xml:space="preserve">The </w:t>
      </w:r>
      <w:r w:rsidR="00EF41A2">
        <w:t>Act</w:t>
      </w:r>
      <w:r>
        <w:t xml:space="preserve"> empowers the CFB to cr</w:t>
      </w:r>
      <w:r w:rsidR="00EF41A2">
        <w:t xml:space="preserve">eate </w:t>
      </w:r>
      <w:r w:rsidR="005A09C0">
        <w:t xml:space="preserve">and manage </w:t>
      </w:r>
      <w:r w:rsidR="007D5066">
        <w:t>“investment funds” at its discretion and without limitation.</w:t>
      </w:r>
      <w:r w:rsidR="005A09C0">
        <w:t xml:space="preserve"> The CFB is also authorised to create and manage a “deposit fund”. </w:t>
      </w:r>
    </w:p>
    <w:p w14:paraId="07518E49" w14:textId="77777777" w:rsidR="00317935" w:rsidRDefault="00317935" w:rsidP="00E46A75">
      <w:pPr>
        <w:spacing w:after="0" w:line="240" w:lineRule="auto"/>
        <w:jc w:val="both"/>
      </w:pPr>
    </w:p>
    <w:p w14:paraId="5ECC35F3" w14:textId="77777777" w:rsidR="007C08DA" w:rsidRDefault="007D5066" w:rsidP="00E46A75">
      <w:pPr>
        <w:spacing w:after="0" w:line="240" w:lineRule="auto"/>
        <w:jc w:val="both"/>
      </w:pPr>
      <w:r>
        <w:t>The following</w:t>
      </w:r>
      <w:r w:rsidR="00317935">
        <w:t xml:space="preserve"> “Fund Rules” detail how the CFB will</w:t>
      </w:r>
      <w:r w:rsidR="005A09C0">
        <w:t xml:space="preserve"> manage the Funds within the rule</w:t>
      </w:r>
      <w:r w:rsidR="00317935">
        <w:t>s established by the Act and in accordance with common market practice in the UK Fund industry. These Rules, as amended from tim</w:t>
      </w:r>
      <w:r w:rsidR="00EF41A2">
        <w:t xml:space="preserve">e to time, </w:t>
      </w:r>
      <w:r w:rsidR="00317935">
        <w:t>have been approved by the Council of the CFB</w:t>
      </w:r>
      <w:r w:rsidR="005A09C0">
        <w:t>.</w:t>
      </w:r>
      <w:r w:rsidR="00317935">
        <w:t xml:space="preserve"> </w:t>
      </w:r>
    </w:p>
    <w:p w14:paraId="5B3E844A" w14:textId="77777777" w:rsidR="007C08DA" w:rsidRDefault="007C08DA" w:rsidP="00E46A75">
      <w:pPr>
        <w:spacing w:after="0" w:line="240" w:lineRule="auto"/>
        <w:jc w:val="both"/>
      </w:pPr>
    </w:p>
    <w:p w14:paraId="086602FF" w14:textId="77777777" w:rsidR="00317935" w:rsidRDefault="008A11DF" w:rsidP="00E46A75">
      <w:pPr>
        <w:spacing w:after="0" w:line="240" w:lineRule="auto"/>
        <w:jc w:val="both"/>
      </w:pPr>
      <w:r>
        <w:t xml:space="preserve">The CFB is not regulated by the Financial Conduct </w:t>
      </w:r>
      <w:proofErr w:type="gramStart"/>
      <w:r>
        <w:t>Authority</w:t>
      </w:r>
      <w:proofErr w:type="gramEnd"/>
      <w:r>
        <w:t xml:space="preserve"> and its investors do no</w:t>
      </w:r>
      <w:r w:rsidR="007C08DA">
        <w:t xml:space="preserve">t </w:t>
      </w:r>
      <w:r>
        <w:t>have recourse to the Financial</w:t>
      </w:r>
      <w:r w:rsidR="007C08DA">
        <w:t xml:space="preserve"> Ombudsman service or to the Financial Services Compensation Scheme. </w:t>
      </w:r>
    </w:p>
    <w:p w14:paraId="4C8DAAA1" w14:textId="77777777" w:rsidR="00FB7974" w:rsidRDefault="00FB7974" w:rsidP="00E46A75">
      <w:pPr>
        <w:spacing w:after="0" w:line="240" w:lineRule="auto"/>
        <w:jc w:val="both"/>
      </w:pPr>
    </w:p>
    <w:p w14:paraId="27C8268E" w14:textId="4C013B2D" w:rsidR="00EE5AC2" w:rsidRPr="00DC27A4" w:rsidRDefault="00EF41A2" w:rsidP="00E46A75">
      <w:pPr>
        <w:pStyle w:val="ListParagraph"/>
        <w:numPr>
          <w:ilvl w:val="0"/>
          <w:numId w:val="2"/>
        </w:numPr>
        <w:spacing w:after="0" w:line="240" w:lineRule="auto"/>
        <w:jc w:val="both"/>
        <w:rPr>
          <w:b/>
        </w:rPr>
      </w:pPr>
      <w:r w:rsidRPr="00FA6EF2">
        <w:rPr>
          <w:b/>
        </w:rPr>
        <w:t>Key Parties</w:t>
      </w:r>
    </w:p>
    <w:p w14:paraId="447BCC95" w14:textId="2DEA631E" w:rsidR="00EE5AC2" w:rsidRDefault="00EA0FDC" w:rsidP="00E46A75">
      <w:pPr>
        <w:spacing w:after="0" w:line="240" w:lineRule="auto"/>
        <w:jc w:val="both"/>
      </w:pPr>
      <w:r w:rsidRPr="0041656A">
        <w:rPr>
          <w:b/>
          <w:bCs/>
        </w:rPr>
        <w:t>The Investment M</w:t>
      </w:r>
      <w:r w:rsidR="00EE5AC2" w:rsidRPr="0041656A">
        <w:rPr>
          <w:b/>
          <w:bCs/>
        </w:rPr>
        <w:t>anager</w:t>
      </w:r>
      <w:r w:rsidR="00CF7A0A">
        <w:t xml:space="preserve"> </w:t>
      </w:r>
    </w:p>
    <w:p w14:paraId="5C645668" w14:textId="77777777" w:rsidR="00EA0FDC" w:rsidRPr="00EE5AC2" w:rsidRDefault="00EA0FDC" w:rsidP="00E46A75">
      <w:pPr>
        <w:spacing w:after="0" w:line="240" w:lineRule="auto"/>
        <w:jc w:val="both"/>
      </w:pPr>
    </w:p>
    <w:p w14:paraId="1053AB4D" w14:textId="77777777" w:rsidR="00EE5AC2" w:rsidRDefault="00EE5AC2" w:rsidP="00E46A75">
      <w:pPr>
        <w:spacing w:after="0" w:line="240" w:lineRule="auto"/>
        <w:jc w:val="both"/>
        <w:rPr>
          <w:rFonts w:ascii="Calibri" w:eastAsia="Times New Roman" w:hAnsi="Calibri" w:cs="Times New Roman"/>
          <w:lang w:eastAsia="en-GB"/>
        </w:rPr>
      </w:pPr>
      <w:r>
        <w:rPr>
          <w:rFonts w:ascii="Calibri" w:eastAsia="Times New Roman" w:hAnsi="Calibri" w:cs="Times New Roman"/>
          <w:lang w:eastAsia="en-GB"/>
        </w:rPr>
        <w:t>The Central Finance Board of the Methodist Church</w:t>
      </w:r>
    </w:p>
    <w:p w14:paraId="0EACCFE1" w14:textId="2A5EFB19" w:rsidR="00334149" w:rsidRDefault="00334149" w:rsidP="00E46A75">
      <w:pPr>
        <w:spacing w:after="0" w:line="240" w:lineRule="auto"/>
        <w:jc w:val="both"/>
        <w:rPr>
          <w:rFonts w:ascii="Calibri" w:eastAsia="Times New Roman" w:hAnsi="Calibri" w:cs="Times New Roman"/>
          <w:lang w:eastAsia="en-GB"/>
        </w:rPr>
      </w:pPr>
      <w:r>
        <w:rPr>
          <w:rFonts w:ascii="Calibri" w:eastAsia="Times New Roman" w:hAnsi="Calibri" w:cs="Times New Roman"/>
          <w:lang w:eastAsia="en-GB"/>
        </w:rPr>
        <w:t>Methodist Church House</w:t>
      </w:r>
    </w:p>
    <w:p w14:paraId="2F432192" w14:textId="50892647" w:rsidR="00EE5AC2" w:rsidRDefault="00334149" w:rsidP="00E46A75">
      <w:pPr>
        <w:spacing w:after="0" w:line="240" w:lineRule="auto"/>
        <w:jc w:val="both"/>
        <w:rPr>
          <w:rFonts w:ascii="Calibri" w:eastAsia="Times New Roman" w:hAnsi="Calibri" w:cs="Times New Roman"/>
          <w:lang w:eastAsia="en-GB"/>
        </w:rPr>
      </w:pPr>
      <w:r>
        <w:rPr>
          <w:rFonts w:ascii="Calibri" w:eastAsia="Times New Roman" w:hAnsi="Calibri" w:cs="Times New Roman"/>
          <w:lang w:eastAsia="en-GB"/>
        </w:rPr>
        <w:t>25 Tavistock Place</w:t>
      </w:r>
    </w:p>
    <w:p w14:paraId="0ABB932F" w14:textId="481FDE86" w:rsidR="00334149" w:rsidRDefault="00334149" w:rsidP="00E46A75">
      <w:pPr>
        <w:spacing w:after="0" w:line="240" w:lineRule="auto"/>
        <w:jc w:val="both"/>
        <w:rPr>
          <w:rFonts w:ascii="Calibri" w:eastAsia="Times New Roman" w:hAnsi="Calibri" w:cs="Times New Roman"/>
          <w:lang w:eastAsia="en-GB"/>
        </w:rPr>
      </w:pPr>
      <w:r>
        <w:rPr>
          <w:rFonts w:ascii="Calibri" w:eastAsia="Times New Roman" w:hAnsi="Calibri" w:cs="Times New Roman"/>
          <w:lang w:eastAsia="en-GB"/>
        </w:rPr>
        <w:t>London</w:t>
      </w:r>
    </w:p>
    <w:p w14:paraId="22736E35" w14:textId="2BCD8BD8" w:rsidR="00334149" w:rsidRDefault="00334149" w:rsidP="00E46A75">
      <w:pPr>
        <w:spacing w:after="0" w:line="240" w:lineRule="auto"/>
        <w:jc w:val="both"/>
        <w:rPr>
          <w:rFonts w:ascii="Calibri" w:eastAsia="Times New Roman" w:hAnsi="Calibri" w:cs="Times New Roman"/>
          <w:lang w:eastAsia="en-GB"/>
        </w:rPr>
      </w:pPr>
      <w:r>
        <w:rPr>
          <w:rFonts w:ascii="Calibri" w:eastAsia="Times New Roman" w:hAnsi="Calibri" w:cs="Times New Roman"/>
          <w:lang w:eastAsia="en-GB"/>
        </w:rPr>
        <w:t>WC1H 9SF</w:t>
      </w:r>
    </w:p>
    <w:p w14:paraId="3D6BB1CF" w14:textId="77777777" w:rsidR="00EA0FDC" w:rsidRDefault="00EE5AC2" w:rsidP="00E46A75">
      <w:pPr>
        <w:spacing w:after="0" w:line="240" w:lineRule="auto"/>
        <w:jc w:val="both"/>
        <w:rPr>
          <w:rFonts w:ascii="Calibri" w:eastAsia="Times New Roman" w:hAnsi="Calibri" w:cs="Times New Roman"/>
          <w:lang w:eastAsia="en-GB"/>
        </w:rPr>
      </w:pPr>
      <w:r>
        <w:rPr>
          <w:rFonts w:ascii="Calibri" w:eastAsia="Times New Roman" w:hAnsi="Calibri" w:cs="Times New Roman"/>
          <w:lang w:eastAsia="en-GB"/>
        </w:rPr>
        <w:t xml:space="preserve">  </w:t>
      </w:r>
    </w:p>
    <w:p w14:paraId="67912EE2" w14:textId="77777777" w:rsidR="00EE5AC2" w:rsidRDefault="00EA0FDC" w:rsidP="00E46A75">
      <w:pPr>
        <w:spacing w:after="0" w:line="240" w:lineRule="auto"/>
        <w:jc w:val="both"/>
        <w:rPr>
          <w:rFonts w:ascii="Calibri" w:eastAsia="Times New Roman" w:hAnsi="Calibri" w:cs="Times New Roman"/>
          <w:lang w:eastAsia="en-GB"/>
        </w:rPr>
      </w:pPr>
      <w:r>
        <w:rPr>
          <w:rFonts w:ascii="Calibri" w:eastAsia="Times New Roman" w:hAnsi="Calibri" w:cs="Times New Roman"/>
          <w:lang w:eastAsia="en-GB"/>
        </w:rPr>
        <w:t>T</w:t>
      </w:r>
      <w:r w:rsidR="00EE5AC2">
        <w:rPr>
          <w:rFonts w:ascii="Calibri" w:eastAsia="Times New Roman" w:hAnsi="Calibri" w:cs="Times New Roman"/>
          <w:lang w:eastAsia="en-GB"/>
        </w:rPr>
        <w:t>el: 020 7496 3600</w:t>
      </w:r>
    </w:p>
    <w:p w14:paraId="51EB24A5" w14:textId="77777777" w:rsidR="00261C09" w:rsidRDefault="00261C09" w:rsidP="00E46A75">
      <w:pPr>
        <w:spacing w:after="0" w:line="240" w:lineRule="auto"/>
        <w:jc w:val="both"/>
        <w:rPr>
          <w:rFonts w:ascii="Calibri" w:eastAsia="Times New Roman" w:hAnsi="Calibri" w:cs="Times New Roman"/>
          <w:lang w:eastAsia="en-GB"/>
        </w:rPr>
      </w:pPr>
    </w:p>
    <w:p w14:paraId="47C08864" w14:textId="77777777" w:rsidR="00EA0FDC" w:rsidRDefault="00EA0FDC" w:rsidP="00E46A75">
      <w:pPr>
        <w:spacing w:after="0" w:line="240" w:lineRule="auto"/>
        <w:jc w:val="both"/>
        <w:rPr>
          <w:rFonts w:ascii="Calibri" w:eastAsia="Times New Roman" w:hAnsi="Calibri" w:cs="Times New Roman"/>
          <w:lang w:eastAsia="en-GB"/>
        </w:rPr>
      </w:pPr>
    </w:p>
    <w:p w14:paraId="73069C97" w14:textId="77777777" w:rsidR="00DC27A4" w:rsidRDefault="00DC27A4" w:rsidP="6FD3DBE0">
      <w:pPr>
        <w:jc w:val="both"/>
        <w:rPr>
          <w:b/>
          <w:bCs/>
        </w:rPr>
      </w:pPr>
    </w:p>
    <w:p w14:paraId="565FC8E7" w14:textId="77777777" w:rsidR="00DC27A4" w:rsidRDefault="00DC27A4" w:rsidP="6FD3DBE0">
      <w:pPr>
        <w:jc w:val="both"/>
        <w:rPr>
          <w:b/>
          <w:bCs/>
        </w:rPr>
      </w:pPr>
    </w:p>
    <w:p w14:paraId="403D3A92" w14:textId="5FB24DCE" w:rsidR="00EA0FDC" w:rsidRPr="0041656A" w:rsidRDefault="00EA0FDC" w:rsidP="6FD3DBE0">
      <w:pPr>
        <w:jc w:val="both"/>
      </w:pPr>
      <w:r w:rsidRPr="0041656A">
        <w:rPr>
          <w:b/>
          <w:bCs/>
        </w:rPr>
        <w:lastRenderedPageBreak/>
        <w:t>Custodian</w:t>
      </w:r>
      <w:r w:rsidR="16E727A0" w:rsidRPr="0041656A">
        <w:rPr>
          <w:b/>
          <w:bCs/>
        </w:rPr>
        <w:t xml:space="preserve"> </w:t>
      </w:r>
    </w:p>
    <w:p w14:paraId="07FCCF81" w14:textId="2CD09EB2" w:rsidR="00EA0FDC" w:rsidRPr="00EA0FDC" w:rsidRDefault="0039354B" w:rsidP="00E46A75">
      <w:pPr>
        <w:spacing w:after="0" w:line="240" w:lineRule="auto"/>
        <w:jc w:val="both"/>
      </w:pPr>
      <w:r>
        <w:t xml:space="preserve">Units in collective investment schemes are registered into the name of the Central Finance Board. Market securities are </w:t>
      </w:r>
      <w:r w:rsidR="00EA0FDC" w:rsidRPr="00EA0FDC">
        <w:t>held by the following custodian:</w:t>
      </w:r>
    </w:p>
    <w:p w14:paraId="08B140E3" w14:textId="77777777" w:rsidR="00EA0FDC" w:rsidRDefault="00EA0FDC" w:rsidP="00E46A75">
      <w:pPr>
        <w:spacing w:after="0" w:line="240" w:lineRule="auto"/>
        <w:jc w:val="both"/>
        <w:rPr>
          <w:i/>
        </w:rPr>
      </w:pPr>
    </w:p>
    <w:p w14:paraId="5B32A0A1" w14:textId="62367390" w:rsidR="00AC1A7B" w:rsidRDefault="00AC1A7B" w:rsidP="00E46A75">
      <w:pPr>
        <w:spacing w:after="0" w:line="240" w:lineRule="auto"/>
        <w:jc w:val="both"/>
      </w:pPr>
      <w:r>
        <w:t>C</w:t>
      </w:r>
      <w:r w:rsidR="00F213FC">
        <w:t>ACEIS</w:t>
      </w:r>
      <w:r>
        <w:t xml:space="preserve"> Bank S.A</w:t>
      </w:r>
    </w:p>
    <w:p w14:paraId="1602A19A" w14:textId="77777777" w:rsidR="00AC1A7B" w:rsidRDefault="00AC1A7B" w:rsidP="00E46A75">
      <w:pPr>
        <w:spacing w:after="0" w:line="240" w:lineRule="auto"/>
        <w:jc w:val="both"/>
      </w:pPr>
      <w:r>
        <w:t>5 Appold Street</w:t>
      </w:r>
    </w:p>
    <w:p w14:paraId="18E80577" w14:textId="77777777" w:rsidR="00AC1A7B" w:rsidRDefault="00AC1A7B" w:rsidP="00E46A75">
      <w:pPr>
        <w:spacing w:after="0" w:line="240" w:lineRule="auto"/>
        <w:jc w:val="both"/>
      </w:pPr>
      <w:r>
        <w:t>London</w:t>
      </w:r>
    </w:p>
    <w:p w14:paraId="5DFA9A65" w14:textId="77777777" w:rsidR="00AC1A7B" w:rsidRDefault="00AC1A7B" w:rsidP="00E46A75">
      <w:pPr>
        <w:spacing w:after="0" w:line="240" w:lineRule="auto"/>
        <w:jc w:val="both"/>
      </w:pPr>
      <w:r>
        <w:t>EC2A 2AG</w:t>
      </w:r>
    </w:p>
    <w:p w14:paraId="3137E985" w14:textId="77777777" w:rsidR="0058715F" w:rsidRDefault="0058715F" w:rsidP="00E46A75">
      <w:pPr>
        <w:spacing w:after="0" w:line="240" w:lineRule="auto"/>
        <w:jc w:val="both"/>
      </w:pPr>
    </w:p>
    <w:p w14:paraId="44D7D575" w14:textId="1D41FCE4" w:rsidR="0058715F" w:rsidRDefault="0058715F" w:rsidP="00E46A75">
      <w:pPr>
        <w:spacing w:after="0" w:line="240" w:lineRule="auto"/>
        <w:jc w:val="both"/>
      </w:pPr>
      <w:r>
        <w:t xml:space="preserve">Telephone: </w:t>
      </w:r>
      <w:hyperlink r:id="rId11" w:history="1">
        <w:r w:rsidRPr="0058715F">
          <w:rPr>
            <w:rFonts w:ascii="Roboto" w:hAnsi="Roboto"/>
            <w:color w:val="005BA1"/>
            <w:sz w:val="21"/>
            <w:szCs w:val="21"/>
            <w:u w:val="single"/>
            <w:shd w:val="clear" w:color="auto" w:fill="FFFFFF"/>
          </w:rPr>
          <w:t>020 7858 0860</w:t>
        </w:r>
      </w:hyperlink>
    </w:p>
    <w:p w14:paraId="3019AE66" w14:textId="77777777" w:rsidR="00AC1A7B" w:rsidRDefault="00AC1A7B" w:rsidP="00E46A75">
      <w:pPr>
        <w:spacing w:after="0" w:line="240" w:lineRule="auto"/>
        <w:jc w:val="both"/>
      </w:pPr>
    </w:p>
    <w:p w14:paraId="53A369FF" w14:textId="2A00B90E" w:rsidR="00FB7974" w:rsidRPr="0041656A" w:rsidRDefault="7A0755A6" w:rsidP="6FD3DBE0">
      <w:pPr>
        <w:spacing w:after="0" w:line="240" w:lineRule="auto"/>
        <w:jc w:val="both"/>
        <w:rPr>
          <w:b/>
          <w:bCs/>
        </w:rPr>
      </w:pPr>
      <w:r w:rsidRPr="0041656A">
        <w:rPr>
          <w:b/>
          <w:bCs/>
        </w:rPr>
        <w:t>Fund Administrator and Fund Accountant</w:t>
      </w:r>
    </w:p>
    <w:p w14:paraId="62607C3A" w14:textId="29F493F5" w:rsidR="6FD3DBE0" w:rsidRPr="0041656A" w:rsidRDefault="6FD3DBE0" w:rsidP="6FD3DBE0">
      <w:pPr>
        <w:spacing w:after="0" w:line="240" w:lineRule="auto"/>
        <w:jc w:val="both"/>
        <w:rPr>
          <w:i/>
          <w:iCs/>
        </w:rPr>
      </w:pPr>
    </w:p>
    <w:p w14:paraId="5F6412C6" w14:textId="6C08CEAB" w:rsidR="3491E63C" w:rsidRDefault="3491E63C" w:rsidP="6FD3DBE0">
      <w:pPr>
        <w:spacing w:after="0" w:line="240" w:lineRule="auto"/>
        <w:jc w:val="both"/>
      </w:pPr>
      <w:r>
        <w:t>CACEIS Bank S.A.</w:t>
      </w:r>
    </w:p>
    <w:p w14:paraId="649C99D9" w14:textId="0AA15698" w:rsidR="4A4ED9D5" w:rsidRDefault="00F213FC" w:rsidP="6FD3DBE0">
      <w:pPr>
        <w:spacing w:after="0" w:line="240" w:lineRule="auto"/>
        <w:jc w:val="both"/>
      </w:pPr>
      <w:r>
        <w:t xml:space="preserve">5 </w:t>
      </w:r>
      <w:r w:rsidR="4A4ED9D5">
        <w:t>Appold Street</w:t>
      </w:r>
    </w:p>
    <w:p w14:paraId="60854DB7" w14:textId="77777777" w:rsidR="4A4ED9D5" w:rsidRDefault="4A4ED9D5" w:rsidP="6FD3DBE0">
      <w:pPr>
        <w:spacing w:after="0" w:line="240" w:lineRule="auto"/>
        <w:jc w:val="both"/>
      </w:pPr>
      <w:r>
        <w:t>London</w:t>
      </w:r>
    </w:p>
    <w:p w14:paraId="214903F2" w14:textId="77777777" w:rsidR="4A4ED9D5" w:rsidRDefault="4A4ED9D5" w:rsidP="6FD3DBE0">
      <w:pPr>
        <w:spacing w:after="0" w:line="240" w:lineRule="auto"/>
        <w:jc w:val="both"/>
      </w:pPr>
      <w:r>
        <w:t>EC2A 2AG</w:t>
      </w:r>
    </w:p>
    <w:p w14:paraId="05721F5A" w14:textId="77777777" w:rsidR="6FD3DBE0" w:rsidRDefault="6FD3DBE0" w:rsidP="6FD3DBE0">
      <w:pPr>
        <w:spacing w:after="0" w:line="240" w:lineRule="auto"/>
        <w:jc w:val="both"/>
      </w:pPr>
    </w:p>
    <w:p w14:paraId="1314C80E" w14:textId="1D41FCE4" w:rsidR="4A4ED9D5" w:rsidRDefault="4A4ED9D5" w:rsidP="6FD3DBE0">
      <w:pPr>
        <w:spacing w:after="0" w:line="240" w:lineRule="auto"/>
        <w:jc w:val="both"/>
        <w:rPr>
          <w:rFonts w:ascii="Roboto" w:hAnsi="Roboto"/>
          <w:color w:val="005BA1"/>
          <w:sz w:val="21"/>
          <w:szCs w:val="21"/>
          <w:u w:val="single"/>
        </w:rPr>
      </w:pPr>
      <w:r>
        <w:t xml:space="preserve">Telephone: </w:t>
      </w:r>
      <w:hyperlink r:id="rId12" w:history="1">
        <w:r w:rsidRPr="6FD3DBE0">
          <w:rPr>
            <w:rFonts w:ascii="Roboto" w:hAnsi="Roboto"/>
            <w:color w:val="005BA1"/>
            <w:sz w:val="21"/>
            <w:szCs w:val="21"/>
            <w:u w:val="single"/>
          </w:rPr>
          <w:t>020 7858 0860</w:t>
        </w:r>
      </w:hyperlink>
    </w:p>
    <w:p w14:paraId="34565094" w14:textId="1497C288" w:rsidR="6FD3DBE0" w:rsidRPr="0041656A" w:rsidRDefault="6FD3DBE0" w:rsidP="6FD3DBE0">
      <w:pPr>
        <w:spacing w:after="0" w:line="240" w:lineRule="auto"/>
        <w:jc w:val="both"/>
        <w:rPr>
          <w:b/>
          <w:bCs/>
          <w:i/>
          <w:iCs/>
        </w:rPr>
      </w:pPr>
    </w:p>
    <w:p w14:paraId="3D172F3C" w14:textId="48526F1F" w:rsidR="4A4ED9D5" w:rsidRPr="0041656A" w:rsidRDefault="4A4ED9D5" w:rsidP="6FD3DBE0">
      <w:pPr>
        <w:spacing w:after="0" w:line="240" w:lineRule="auto"/>
        <w:jc w:val="both"/>
        <w:rPr>
          <w:b/>
          <w:bCs/>
        </w:rPr>
      </w:pPr>
      <w:r w:rsidRPr="0041656A">
        <w:rPr>
          <w:b/>
          <w:bCs/>
        </w:rPr>
        <w:t>Transfer Agent and Registrar</w:t>
      </w:r>
    </w:p>
    <w:p w14:paraId="172CF6E2" w14:textId="528CAFD5" w:rsidR="6FD3DBE0" w:rsidRPr="0041656A" w:rsidRDefault="6FD3DBE0" w:rsidP="6FD3DBE0">
      <w:pPr>
        <w:spacing w:after="0" w:line="240" w:lineRule="auto"/>
        <w:jc w:val="both"/>
        <w:rPr>
          <w:i/>
          <w:iCs/>
        </w:rPr>
      </w:pPr>
    </w:p>
    <w:p w14:paraId="39295831" w14:textId="19D7E547" w:rsidR="4A4ED9D5" w:rsidRPr="0041656A" w:rsidRDefault="4A4ED9D5" w:rsidP="6FD3DBE0">
      <w:pPr>
        <w:spacing w:after="0" w:line="240" w:lineRule="auto"/>
        <w:jc w:val="both"/>
      </w:pPr>
      <w:r w:rsidRPr="0041656A">
        <w:t>JTC</w:t>
      </w:r>
      <w:r w:rsidR="2DB91D58" w:rsidRPr="0041656A">
        <w:t xml:space="preserve"> Fund Services (UK) Limited</w:t>
      </w:r>
    </w:p>
    <w:p w14:paraId="2251A576" w14:textId="4CCFF434" w:rsidR="2DB91D58" w:rsidRPr="0041656A" w:rsidRDefault="2DB91D58" w:rsidP="6FD3DBE0">
      <w:pPr>
        <w:spacing w:after="0" w:line="240" w:lineRule="auto"/>
        <w:jc w:val="both"/>
      </w:pPr>
      <w:r w:rsidRPr="0041656A">
        <w:t>The Sca</w:t>
      </w:r>
      <w:r w:rsidR="00F119B3">
        <w:t>l</w:t>
      </w:r>
      <w:r w:rsidRPr="0041656A">
        <w:t>pel,</w:t>
      </w:r>
    </w:p>
    <w:p w14:paraId="18A37184" w14:textId="137F4AC5" w:rsidR="2DB91D58" w:rsidRPr="0041656A" w:rsidRDefault="2DB91D58" w:rsidP="6FD3DBE0">
      <w:pPr>
        <w:spacing w:after="0" w:line="240" w:lineRule="auto"/>
        <w:jc w:val="both"/>
      </w:pPr>
      <w:r w:rsidRPr="0041656A">
        <w:t>18</w:t>
      </w:r>
      <w:r w:rsidRPr="0041656A">
        <w:rPr>
          <w:vertAlign w:val="superscript"/>
        </w:rPr>
        <w:t>th</w:t>
      </w:r>
      <w:r w:rsidRPr="0041656A">
        <w:t xml:space="preserve"> floor,</w:t>
      </w:r>
    </w:p>
    <w:p w14:paraId="4706DD4A" w14:textId="470DF4DB" w:rsidR="2DB91D58" w:rsidRPr="0041656A" w:rsidRDefault="2DB91D58" w:rsidP="6FD3DBE0">
      <w:pPr>
        <w:spacing w:after="0" w:line="240" w:lineRule="auto"/>
        <w:jc w:val="both"/>
      </w:pPr>
      <w:r w:rsidRPr="0041656A">
        <w:t>52 Lime Street,</w:t>
      </w:r>
    </w:p>
    <w:p w14:paraId="62EC16C1" w14:textId="26FF2A03" w:rsidR="2DB91D58" w:rsidRDefault="2DB91D58" w:rsidP="6FD3DBE0">
      <w:pPr>
        <w:spacing w:after="0" w:line="240" w:lineRule="auto"/>
        <w:jc w:val="both"/>
      </w:pPr>
      <w:r w:rsidRPr="0041656A">
        <w:t>London EC3M 7AF</w:t>
      </w:r>
    </w:p>
    <w:p w14:paraId="38A262EF" w14:textId="0BF9979C" w:rsidR="6FD3DBE0" w:rsidRDefault="6FD3DBE0" w:rsidP="6FD3DBE0">
      <w:pPr>
        <w:spacing w:after="0" w:line="240" w:lineRule="auto"/>
        <w:jc w:val="both"/>
      </w:pPr>
    </w:p>
    <w:p w14:paraId="72777B4A" w14:textId="7A59370B" w:rsidR="597A864E" w:rsidRPr="0041656A" w:rsidRDefault="597A864E" w:rsidP="6FD3DBE0">
      <w:pPr>
        <w:spacing w:after="0" w:line="240" w:lineRule="auto"/>
        <w:jc w:val="both"/>
      </w:pPr>
      <w:r w:rsidRPr="6FD3DBE0">
        <w:t>Telephone: 020 7409 0181</w:t>
      </w:r>
    </w:p>
    <w:p w14:paraId="5BBB7EF5" w14:textId="47E0621C" w:rsidR="00FB7974" w:rsidRPr="0041656A" w:rsidRDefault="00FB7974" w:rsidP="482C8F91">
      <w:pPr>
        <w:spacing w:after="0" w:line="240" w:lineRule="auto"/>
        <w:jc w:val="both"/>
        <w:rPr>
          <w:i/>
          <w:iCs/>
        </w:rPr>
      </w:pPr>
    </w:p>
    <w:p w14:paraId="418B0F2C" w14:textId="7F4D9BED" w:rsidR="00FB7974" w:rsidRPr="0041656A" w:rsidRDefault="00EA0FDC" w:rsidP="6FD3DBE0">
      <w:pPr>
        <w:spacing w:after="0" w:line="240" w:lineRule="auto"/>
        <w:jc w:val="both"/>
        <w:rPr>
          <w:b/>
          <w:bCs/>
        </w:rPr>
      </w:pPr>
      <w:r w:rsidRPr="0041656A">
        <w:rPr>
          <w:b/>
          <w:bCs/>
        </w:rPr>
        <w:t>Auditors</w:t>
      </w:r>
    </w:p>
    <w:p w14:paraId="0ED1E0DB" w14:textId="77777777" w:rsidR="009E5F75" w:rsidRPr="0041656A" w:rsidRDefault="009E5F75" w:rsidP="00E46A75">
      <w:pPr>
        <w:spacing w:after="0" w:line="240" w:lineRule="auto"/>
        <w:jc w:val="both"/>
      </w:pPr>
    </w:p>
    <w:p w14:paraId="24ABEB2E" w14:textId="77777777" w:rsidR="00EA0FDC" w:rsidRDefault="00EA0FDC" w:rsidP="00E46A75">
      <w:pPr>
        <w:spacing w:after="0" w:line="240" w:lineRule="auto"/>
        <w:jc w:val="both"/>
      </w:pPr>
      <w:r w:rsidRPr="00EA0FDC">
        <w:t xml:space="preserve">The auditors of the CFB </w:t>
      </w:r>
      <w:r w:rsidR="00744FAB">
        <w:t>and of the Funds</w:t>
      </w:r>
      <w:r w:rsidR="008A11DF">
        <w:t xml:space="preserve"> </w:t>
      </w:r>
      <w:r w:rsidRPr="00EA0FDC">
        <w:t>are:</w:t>
      </w:r>
    </w:p>
    <w:p w14:paraId="726A1155" w14:textId="77777777" w:rsidR="00EA0FDC" w:rsidRDefault="00EA0FDC" w:rsidP="00E46A75">
      <w:pPr>
        <w:spacing w:after="0" w:line="240" w:lineRule="auto"/>
        <w:jc w:val="both"/>
      </w:pPr>
    </w:p>
    <w:p w14:paraId="6A27F0F9" w14:textId="5A64E1A3" w:rsidR="00EA0FDC" w:rsidRDefault="0039354B" w:rsidP="00E46A75">
      <w:pPr>
        <w:spacing w:after="0" w:line="240" w:lineRule="auto"/>
        <w:jc w:val="both"/>
      </w:pPr>
      <w:r>
        <w:t>Blick Rothenberg</w:t>
      </w:r>
    </w:p>
    <w:p w14:paraId="045292FF" w14:textId="2F674E83" w:rsidR="00EA0FDC" w:rsidRDefault="0039354B" w:rsidP="00E46A75">
      <w:pPr>
        <w:spacing w:after="0" w:line="240" w:lineRule="auto"/>
        <w:jc w:val="both"/>
      </w:pPr>
      <w:r>
        <w:t>16 Great Queen Street</w:t>
      </w:r>
    </w:p>
    <w:p w14:paraId="1CFF71EC" w14:textId="5D3B4AF6" w:rsidR="0039354B" w:rsidRDefault="0039354B" w:rsidP="00E46A75">
      <w:pPr>
        <w:spacing w:after="0" w:line="240" w:lineRule="auto"/>
        <w:jc w:val="both"/>
      </w:pPr>
      <w:r>
        <w:t xml:space="preserve">Covent </w:t>
      </w:r>
      <w:r w:rsidR="00431C17">
        <w:t>G</w:t>
      </w:r>
      <w:r>
        <w:t>arden</w:t>
      </w:r>
    </w:p>
    <w:p w14:paraId="4A8DEEF1" w14:textId="0564E9DA" w:rsidR="0039354B" w:rsidRPr="00EA0FDC" w:rsidRDefault="0039354B" w:rsidP="00E46A75">
      <w:pPr>
        <w:spacing w:after="0" w:line="240" w:lineRule="auto"/>
        <w:jc w:val="both"/>
      </w:pPr>
      <w:r>
        <w:t>London WC2B 5AH</w:t>
      </w:r>
    </w:p>
    <w:p w14:paraId="6EDDF934" w14:textId="77777777" w:rsidR="00FB7974" w:rsidRDefault="00FB7974" w:rsidP="00E46A75">
      <w:pPr>
        <w:spacing w:after="0" w:line="240" w:lineRule="auto"/>
        <w:jc w:val="both"/>
      </w:pPr>
    </w:p>
    <w:p w14:paraId="54AE4569" w14:textId="77777777" w:rsidR="00FB7974" w:rsidRPr="00FA6EF2" w:rsidRDefault="00FB7974" w:rsidP="00E46A75">
      <w:pPr>
        <w:pStyle w:val="ListParagraph"/>
        <w:numPr>
          <w:ilvl w:val="0"/>
          <w:numId w:val="2"/>
        </w:numPr>
        <w:spacing w:after="0" w:line="240" w:lineRule="auto"/>
        <w:jc w:val="both"/>
        <w:rPr>
          <w:b/>
        </w:rPr>
      </w:pPr>
      <w:r w:rsidRPr="00FA6EF2">
        <w:rPr>
          <w:b/>
        </w:rPr>
        <w:t xml:space="preserve">Who </w:t>
      </w:r>
      <w:r w:rsidR="00932DDC">
        <w:rPr>
          <w:b/>
        </w:rPr>
        <w:t>is</w:t>
      </w:r>
      <w:r w:rsidRPr="00FA6EF2">
        <w:rPr>
          <w:b/>
        </w:rPr>
        <w:t xml:space="preserve"> eligible to </w:t>
      </w:r>
      <w:r w:rsidR="00932DDC">
        <w:rPr>
          <w:b/>
        </w:rPr>
        <w:t>use</w:t>
      </w:r>
      <w:r w:rsidRPr="00FA6EF2">
        <w:rPr>
          <w:b/>
        </w:rPr>
        <w:t xml:space="preserve"> the CFB?</w:t>
      </w:r>
    </w:p>
    <w:p w14:paraId="3CA9C15C" w14:textId="77777777" w:rsidR="00EF41A2" w:rsidRDefault="00EF41A2" w:rsidP="00E46A75">
      <w:pPr>
        <w:spacing w:after="0" w:line="240" w:lineRule="auto"/>
        <w:jc w:val="both"/>
      </w:pPr>
    </w:p>
    <w:p w14:paraId="576BB5B2" w14:textId="77777777" w:rsidR="00EF41A2" w:rsidRDefault="00EF41A2" w:rsidP="00E46A75">
      <w:pPr>
        <w:spacing w:after="0" w:line="240" w:lineRule="auto"/>
        <w:jc w:val="both"/>
      </w:pPr>
      <w:r>
        <w:t>The Act states that the following may be engaged by the CFB:</w:t>
      </w:r>
    </w:p>
    <w:p w14:paraId="5A264E3F" w14:textId="77777777" w:rsidR="00D86571" w:rsidRDefault="00D86571" w:rsidP="00E46A75">
      <w:pPr>
        <w:spacing w:after="0" w:line="240" w:lineRule="auto"/>
        <w:jc w:val="both"/>
      </w:pPr>
    </w:p>
    <w:p w14:paraId="0A94A5E6" w14:textId="77777777" w:rsidR="000B4531" w:rsidRDefault="00D86571" w:rsidP="00E46A75">
      <w:pPr>
        <w:pStyle w:val="ListParagraph"/>
        <w:numPr>
          <w:ilvl w:val="0"/>
          <w:numId w:val="17"/>
        </w:numPr>
        <w:spacing w:after="0" w:line="240" w:lineRule="auto"/>
        <w:jc w:val="both"/>
      </w:pPr>
      <w:r>
        <w:t>The Funds of the Methodist Church in Great Britain</w:t>
      </w:r>
      <w:r w:rsidR="00744FAB">
        <w:t>,</w:t>
      </w:r>
      <w:r>
        <w:t xml:space="preserve"> </w:t>
      </w:r>
      <w:r w:rsidR="00A62B49">
        <w:t>the Channel Islands and the Isle of Man</w:t>
      </w:r>
      <w:r>
        <w:t>. This explicitly includes any funds held upon a model trust deed</w:t>
      </w:r>
    </w:p>
    <w:p w14:paraId="03AD2853" w14:textId="77777777" w:rsidR="00D86571" w:rsidRDefault="00D86571" w:rsidP="00E46A75">
      <w:pPr>
        <w:spacing w:after="0" w:line="240" w:lineRule="auto"/>
        <w:jc w:val="both"/>
      </w:pPr>
    </w:p>
    <w:p w14:paraId="24F09B5F" w14:textId="77777777" w:rsidR="00E47488" w:rsidRDefault="00D86571" w:rsidP="00E46A75">
      <w:pPr>
        <w:pStyle w:val="ListParagraph"/>
        <w:numPr>
          <w:ilvl w:val="0"/>
          <w:numId w:val="17"/>
        </w:numPr>
        <w:spacing w:after="0" w:line="240" w:lineRule="auto"/>
        <w:jc w:val="both"/>
      </w:pPr>
      <w:r>
        <w:t xml:space="preserve">The funds of any charity controlled by the Methodist Conference. The test for this is whether the charity is administered by a body </w:t>
      </w:r>
      <w:proofErr w:type="gramStart"/>
      <w:r>
        <w:t>the majority of</w:t>
      </w:r>
      <w:proofErr w:type="gramEnd"/>
      <w:r>
        <w:t xml:space="preserve"> whose members are appoint</w:t>
      </w:r>
      <w:r w:rsidR="007717F3">
        <w:t>ed by the Methodist Conference</w:t>
      </w:r>
    </w:p>
    <w:p w14:paraId="3D854D39" w14:textId="77777777" w:rsidR="00E47488" w:rsidRDefault="00E47488" w:rsidP="00E46A75">
      <w:pPr>
        <w:pStyle w:val="ListParagraph"/>
        <w:jc w:val="both"/>
      </w:pPr>
    </w:p>
    <w:p w14:paraId="3DF06903" w14:textId="77777777" w:rsidR="00D86571" w:rsidRDefault="00D86571" w:rsidP="00E46A75">
      <w:pPr>
        <w:pStyle w:val="ListParagraph"/>
        <w:numPr>
          <w:ilvl w:val="0"/>
          <w:numId w:val="17"/>
        </w:numPr>
        <w:spacing w:after="0" w:line="240" w:lineRule="auto"/>
        <w:jc w:val="both"/>
      </w:pPr>
      <w:r>
        <w:lastRenderedPageBreak/>
        <w:t xml:space="preserve">Legal opinion has been received that “charity” </w:t>
      </w:r>
      <w:r w:rsidR="00A62B49">
        <w:t xml:space="preserve">for these purposes includes the management of any pension schemes which are ancillary to the main purpose </w:t>
      </w:r>
      <w:r w:rsidR="007717F3">
        <w:t>of the Church and its charities</w:t>
      </w:r>
    </w:p>
    <w:p w14:paraId="4AF961BE" w14:textId="77777777" w:rsidR="00D86571" w:rsidRDefault="00D86571" w:rsidP="00E46A75">
      <w:pPr>
        <w:pStyle w:val="ListParagraph"/>
        <w:jc w:val="both"/>
      </w:pPr>
    </w:p>
    <w:p w14:paraId="5C27A511" w14:textId="77777777" w:rsidR="00D86571" w:rsidRDefault="00D86571" w:rsidP="00E46A75">
      <w:pPr>
        <w:pStyle w:val="ListParagraph"/>
        <w:numPr>
          <w:ilvl w:val="0"/>
          <w:numId w:val="17"/>
        </w:numPr>
        <w:spacing w:after="0" w:line="240" w:lineRule="auto"/>
        <w:jc w:val="both"/>
      </w:pPr>
      <w:r>
        <w:t>The overseas mission funds</w:t>
      </w:r>
    </w:p>
    <w:p w14:paraId="77F45E5B" w14:textId="77777777" w:rsidR="00CC120C" w:rsidRDefault="00CC120C" w:rsidP="00E46A75">
      <w:pPr>
        <w:spacing w:after="0" w:line="240" w:lineRule="auto"/>
        <w:jc w:val="both"/>
      </w:pPr>
    </w:p>
    <w:p w14:paraId="74D4B973" w14:textId="77777777" w:rsidR="000B4531" w:rsidRDefault="000B4531" w:rsidP="00E46A75">
      <w:pPr>
        <w:pStyle w:val="ListParagraph"/>
        <w:numPr>
          <w:ilvl w:val="0"/>
          <w:numId w:val="2"/>
        </w:numPr>
        <w:spacing w:after="0" w:line="240" w:lineRule="auto"/>
        <w:jc w:val="both"/>
        <w:rPr>
          <w:b/>
        </w:rPr>
      </w:pPr>
      <w:r w:rsidRPr="00FA6EF2">
        <w:rPr>
          <w:b/>
        </w:rPr>
        <w:t>The CFB Funds</w:t>
      </w:r>
    </w:p>
    <w:p w14:paraId="1FDB5C4D" w14:textId="77777777" w:rsidR="009E5F75" w:rsidRPr="00FA6EF2" w:rsidRDefault="009E5F75" w:rsidP="00E46A75">
      <w:pPr>
        <w:pStyle w:val="ListParagraph"/>
        <w:spacing w:after="0" w:line="240" w:lineRule="auto"/>
        <w:ind w:left="786"/>
        <w:jc w:val="both"/>
        <w:rPr>
          <w:b/>
        </w:rPr>
      </w:pPr>
    </w:p>
    <w:p w14:paraId="3D70C2A0" w14:textId="46B7A3B2" w:rsidR="000B4531" w:rsidRDefault="006C34C8" w:rsidP="00E46A75">
      <w:pPr>
        <w:spacing w:after="0" w:line="240" w:lineRule="auto"/>
        <w:jc w:val="both"/>
      </w:pPr>
      <w:r>
        <w:t>The CFB</w:t>
      </w:r>
      <w:r w:rsidR="000B4531">
        <w:t xml:space="preserve"> currently offe</w:t>
      </w:r>
      <w:r w:rsidR="00583114">
        <w:t xml:space="preserve">rs </w:t>
      </w:r>
      <w:r w:rsidR="00E274BB">
        <w:t>six</w:t>
      </w:r>
      <w:r w:rsidR="005A29A2">
        <w:t xml:space="preserve"> </w:t>
      </w:r>
      <w:r w:rsidR="00583114">
        <w:t>Fund choices</w:t>
      </w:r>
      <w:r w:rsidR="00670FFD">
        <w:t xml:space="preserve"> to eligi</w:t>
      </w:r>
      <w:r w:rsidR="000B4531">
        <w:t>ble investors:</w:t>
      </w:r>
    </w:p>
    <w:p w14:paraId="29E746FF" w14:textId="77777777" w:rsidR="005408E7" w:rsidRDefault="005408E7" w:rsidP="00E46A75">
      <w:pPr>
        <w:spacing w:after="0" w:line="240" w:lineRule="auto"/>
        <w:jc w:val="both"/>
      </w:pPr>
    </w:p>
    <w:tbl>
      <w:tblPr>
        <w:tblStyle w:val="TableGrid"/>
        <w:tblW w:w="0" w:type="auto"/>
        <w:tblLook w:val="04A0" w:firstRow="1" w:lastRow="0" w:firstColumn="1" w:lastColumn="0" w:noHBand="0" w:noVBand="1"/>
      </w:tblPr>
      <w:tblGrid>
        <w:gridCol w:w="3964"/>
        <w:gridCol w:w="2268"/>
      </w:tblGrid>
      <w:tr w:rsidR="002B0CA5" w14:paraId="6D7F183E" w14:textId="77777777" w:rsidTr="007C4E76">
        <w:tc>
          <w:tcPr>
            <w:tcW w:w="3964" w:type="dxa"/>
          </w:tcPr>
          <w:p w14:paraId="00769692" w14:textId="5DFC4A0E" w:rsidR="002B0CA5" w:rsidRPr="005408E7" w:rsidRDefault="00972577" w:rsidP="002B0CA5">
            <w:pPr>
              <w:jc w:val="both"/>
              <w:rPr>
                <w:b/>
              </w:rPr>
            </w:pPr>
            <w:r>
              <w:rPr>
                <w:b/>
              </w:rPr>
              <w:t>Investment</w:t>
            </w:r>
            <w:r w:rsidRPr="005408E7">
              <w:rPr>
                <w:b/>
              </w:rPr>
              <w:t xml:space="preserve"> </w:t>
            </w:r>
            <w:r w:rsidR="002B0CA5">
              <w:rPr>
                <w:b/>
              </w:rPr>
              <w:t>Funds</w:t>
            </w:r>
          </w:p>
        </w:tc>
        <w:tc>
          <w:tcPr>
            <w:tcW w:w="2268" w:type="dxa"/>
          </w:tcPr>
          <w:p w14:paraId="607B191B" w14:textId="76F12521" w:rsidR="002B0CA5" w:rsidRPr="005408E7" w:rsidRDefault="00417D03" w:rsidP="6FD3DBE0">
            <w:pPr>
              <w:jc w:val="both"/>
              <w:rPr>
                <w:b/>
                <w:bCs/>
              </w:rPr>
            </w:pPr>
            <w:r w:rsidRPr="6FD3DBE0">
              <w:rPr>
                <w:b/>
                <w:bCs/>
              </w:rPr>
              <w:t>Deposit Fund</w:t>
            </w:r>
          </w:p>
        </w:tc>
      </w:tr>
      <w:tr w:rsidR="002B0CA5" w14:paraId="31583C55" w14:textId="77777777" w:rsidTr="007C4E76">
        <w:tc>
          <w:tcPr>
            <w:tcW w:w="3964" w:type="dxa"/>
          </w:tcPr>
          <w:p w14:paraId="0B2699F4" w14:textId="5A5E5606" w:rsidR="002B0CA5" w:rsidRDefault="00C93685" w:rsidP="002B0CA5">
            <w:pPr>
              <w:jc w:val="both"/>
            </w:pPr>
            <w:r>
              <w:t xml:space="preserve">CFB </w:t>
            </w:r>
            <w:r w:rsidR="00261C09">
              <w:t xml:space="preserve">Managed </w:t>
            </w:r>
            <w:r w:rsidR="002B0CA5">
              <w:t>Fixed Interest</w:t>
            </w:r>
            <w:r w:rsidR="00261C09">
              <w:t xml:space="preserve"> Fund </w:t>
            </w:r>
          </w:p>
        </w:tc>
        <w:tc>
          <w:tcPr>
            <w:tcW w:w="2268" w:type="dxa"/>
          </w:tcPr>
          <w:p w14:paraId="62ECCBED" w14:textId="37DF7E06" w:rsidR="002B0CA5" w:rsidRDefault="00261C09" w:rsidP="002B0CA5">
            <w:pPr>
              <w:jc w:val="both"/>
            </w:pPr>
            <w:r>
              <w:t xml:space="preserve">CFB </w:t>
            </w:r>
            <w:r w:rsidR="002B0CA5">
              <w:t>Deposit</w:t>
            </w:r>
            <w:r>
              <w:t xml:space="preserve"> Fund</w:t>
            </w:r>
          </w:p>
        </w:tc>
      </w:tr>
      <w:tr w:rsidR="003514D8" w14:paraId="5BAE80FD" w14:textId="77777777" w:rsidTr="007C4E76">
        <w:tc>
          <w:tcPr>
            <w:tcW w:w="3964" w:type="dxa"/>
          </w:tcPr>
          <w:p w14:paraId="23389140" w14:textId="232AA450" w:rsidR="003514D8" w:rsidRDefault="00C93685" w:rsidP="00E46A75">
            <w:pPr>
              <w:jc w:val="both"/>
            </w:pPr>
            <w:r>
              <w:t xml:space="preserve">CFB </w:t>
            </w:r>
            <w:r w:rsidR="00261C09">
              <w:t xml:space="preserve">Managed </w:t>
            </w:r>
            <w:r w:rsidR="003514D8">
              <w:t>Equity</w:t>
            </w:r>
            <w:r w:rsidR="00261C09">
              <w:t xml:space="preserve"> Fund </w:t>
            </w:r>
          </w:p>
        </w:tc>
        <w:tc>
          <w:tcPr>
            <w:tcW w:w="2268" w:type="dxa"/>
          </w:tcPr>
          <w:p w14:paraId="4C28FE3E" w14:textId="77777777" w:rsidR="003514D8" w:rsidRDefault="003514D8" w:rsidP="00E46A75">
            <w:pPr>
              <w:jc w:val="both"/>
            </w:pPr>
          </w:p>
        </w:tc>
      </w:tr>
      <w:tr w:rsidR="003514D8" w14:paraId="24C9A6D9" w14:textId="77777777" w:rsidTr="007C4E76">
        <w:tc>
          <w:tcPr>
            <w:tcW w:w="3964" w:type="dxa"/>
          </w:tcPr>
          <w:p w14:paraId="4E5B94A7" w14:textId="58CA4DF9" w:rsidR="003514D8" w:rsidRDefault="4CB9ED19" w:rsidP="00E46A75">
            <w:pPr>
              <w:jc w:val="both"/>
            </w:pPr>
            <w:r>
              <w:t xml:space="preserve">CFB </w:t>
            </w:r>
            <w:r w:rsidR="15CE0D30">
              <w:t>Managed Mixed</w:t>
            </w:r>
            <w:r w:rsidR="48CA3FB6">
              <w:t xml:space="preserve"> Fund</w:t>
            </w:r>
          </w:p>
        </w:tc>
        <w:tc>
          <w:tcPr>
            <w:tcW w:w="2268" w:type="dxa"/>
          </w:tcPr>
          <w:p w14:paraId="2A62A110" w14:textId="641E240B" w:rsidR="003514D8" w:rsidRPr="00845467" w:rsidRDefault="003514D8" w:rsidP="00E46A75">
            <w:pPr>
              <w:jc w:val="both"/>
              <w:rPr>
                <w:b/>
              </w:rPr>
            </w:pPr>
          </w:p>
        </w:tc>
      </w:tr>
      <w:tr w:rsidR="003514D8" w14:paraId="66EE31D5" w14:textId="77777777" w:rsidTr="007C4E76">
        <w:tc>
          <w:tcPr>
            <w:tcW w:w="3964" w:type="dxa"/>
          </w:tcPr>
          <w:p w14:paraId="3B6637DC" w14:textId="7359AAFC" w:rsidR="003514D8" w:rsidRDefault="00261C09" w:rsidP="00E46A75">
            <w:pPr>
              <w:jc w:val="both"/>
            </w:pPr>
            <w:r>
              <w:t>Connexional</w:t>
            </w:r>
            <w:r w:rsidR="003514D8">
              <w:t xml:space="preserve"> Council Medium Term</w:t>
            </w:r>
            <w:r w:rsidR="007C2E15">
              <w:t xml:space="preserve"> Fund</w:t>
            </w:r>
          </w:p>
        </w:tc>
        <w:tc>
          <w:tcPr>
            <w:tcW w:w="2268" w:type="dxa"/>
          </w:tcPr>
          <w:p w14:paraId="5B79B3A9" w14:textId="52018274" w:rsidR="003514D8" w:rsidRDefault="003514D8" w:rsidP="00E46A75">
            <w:pPr>
              <w:jc w:val="both"/>
            </w:pPr>
          </w:p>
        </w:tc>
      </w:tr>
      <w:tr w:rsidR="003514D8" w14:paraId="463E038C" w14:textId="77777777" w:rsidTr="007C4E76">
        <w:tc>
          <w:tcPr>
            <w:tcW w:w="3964" w:type="dxa"/>
          </w:tcPr>
          <w:p w14:paraId="658D1A48" w14:textId="32B1E6C2" w:rsidR="003514D8" w:rsidRDefault="007C2E15" w:rsidP="00E46A75">
            <w:pPr>
              <w:jc w:val="both"/>
            </w:pPr>
            <w:r>
              <w:t>Connexional Council</w:t>
            </w:r>
            <w:r w:rsidR="003514D8">
              <w:t xml:space="preserve"> Long Term</w:t>
            </w:r>
            <w:r>
              <w:t xml:space="preserve"> Fund</w:t>
            </w:r>
          </w:p>
        </w:tc>
        <w:tc>
          <w:tcPr>
            <w:tcW w:w="2268" w:type="dxa"/>
          </w:tcPr>
          <w:p w14:paraId="71362BDF" w14:textId="77777777" w:rsidR="003514D8" w:rsidRDefault="003514D8" w:rsidP="00E46A75">
            <w:pPr>
              <w:jc w:val="both"/>
            </w:pPr>
          </w:p>
        </w:tc>
      </w:tr>
    </w:tbl>
    <w:p w14:paraId="541ADD50" w14:textId="77777777" w:rsidR="005408E7" w:rsidRDefault="005408E7" w:rsidP="00E46A75">
      <w:pPr>
        <w:spacing w:after="0" w:line="240" w:lineRule="auto"/>
        <w:jc w:val="both"/>
      </w:pPr>
    </w:p>
    <w:p w14:paraId="25A91C88" w14:textId="48A9127F" w:rsidR="000B4531" w:rsidRDefault="000B4531" w:rsidP="00E46A75">
      <w:pPr>
        <w:spacing w:after="0" w:line="240" w:lineRule="auto"/>
        <w:jc w:val="both"/>
      </w:pPr>
      <w:r>
        <w:t xml:space="preserve">Additional Funds may be created by creating a new book of records in the accounts of the CFB. There is no limit to the minimum or maximum </w:t>
      </w:r>
      <w:r w:rsidR="006C34C8">
        <w:t>value</w:t>
      </w:r>
      <w:r>
        <w:t xml:space="preserve"> of any such funds </w:t>
      </w:r>
      <w:r w:rsidR="006C34C8">
        <w:t xml:space="preserve">or the number of unit </w:t>
      </w:r>
      <w:r w:rsidR="00417D03">
        <w:t>holders,</w:t>
      </w:r>
      <w:r w:rsidR="006C34C8">
        <w:t xml:space="preserve"> </w:t>
      </w:r>
      <w:r>
        <w:t>but the Council will take a vi</w:t>
      </w:r>
      <w:r w:rsidR="00670FFD">
        <w:t xml:space="preserve">ew as </w:t>
      </w:r>
      <w:r w:rsidR="00932DDC">
        <w:t xml:space="preserve">to </w:t>
      </w:r>
      <w:r w:rsidR="00670FFD">
        <w:t xml:space="preserve">the viability </w:t>
      </w:r>
      <w:r>
        <w:t xml:space="preserve">of any Fund given its external costs, the complexity of the investment </w:t>
      </w:r>
      <w:r w:rsidR="00400DFF">
        <w:t>arrangements and</w:t>
      </w:r>
      <w:r>
        <w:t xml:space="preserve"> the opera</w:t>
      </w:r>
      <w:r w:rsidR="006306D5">
        <w:t>tional requirements of the Fund</w:t>
      </w:r>
      <w:r w:rsidR="005844BD">
        <w:t>.</w:t>
      </w:r>
    </w:p>
    <w:p w14:paraId="63B85868" w14:textId="77777777" w:rsidR="006306D5" w:rsidRDefault="006306D5" w:rsidP="00E46A75">
      <w:pPr>
        <w:spacing w:after="0" w:line="240" w:lineRule="auto"/>
        <w:jc w:val="both"/>
      </w:pPr>
    </w:p>
    <w:p w14:paraId="3224872B" w14:textId="7864C58A" w:rsidR="006306D5" w:rsidRDefault="005844BD" w:rsidP="00E46A75">
      <w:pPr>
        <w:spacing w:after="0" w:line="240" w:lineRule="auto"/>
        <w:jc w:val="both"/>
      </w:pPr>
      <w:r>
        <w:t>T</w:t>
      </w:r>
      <w:r w:rsidR="006306D5">
        <w:t>here is no separa</w:t>
      </w:r>
      <w:r w:rsidR="00671B70">
        <w:t xml:space="preserve">te legal entity for each fund, </w:t>
      </w:r>
      <w:r>
        <w:t xml:space="preserve">therefore </w:t>
      </w:r>
      <w:r w:rsidR="00671B70">
        <w:t>i</w:t>
      </w:r>
      <w:r w:rsidR="006306D5">
        <w:t xml:space="preserve">f a liability arises in one fund the responsibility for it </w:t>
      </w:r>
      <w:r>
        <w:t>could be</w:t>
      </w:r>
      <w:r w:rsidR="006306D5">
        <w:t xml:space="preserve"> shared by </w:t>
      </w:r>
      <w:proofErr w:type="gramStart"/>
      <w:r w:rsidR="006306D5">
        <w:t>all of</w:t>
      </w:r>
      <w:proofErr w:type="gramEnd"/>
      <w:r w:rsidR="006306D5">
        <w:t xml:space="preserve"> the CFB Funds. </w:t>
      </w:r>
      <w:r w:rsidR="00417D03">
        <w:t>Therefore,</w:t>
      </w:r>
      <w:r>
        <w:t xml:space="preserve"> to reduce this “contagion risk”</w:t>
      </w:r>
      <w:r w:rsidR="006306D5">
        <w:t xml:space="preserve"> in determining the investment policy</w:t>
      </w:r>
      <w:r w:rsidR="00671B70">
        <w:t xml:space="preserve"> of each fund the Counc</w:t>
      </w:r>
      <w:r w:rsidR="006306D5">
        <w:t>il wil</w:t>
      </w:r>
      <w:r w:rsidR="00671B70">
        <w:t>l not permit any of the followin</w:t>
      </w:r>
      <w:r w:rsidR="006306D5">
        <w:t>g activities:</w:t>
      </w:r>
    </w:p>
    <w:p w14:paraId="3E6239FD" w14:textId="5EC7CBD5" w:rsidR="006306D5" w:rsidRDefault="006306D5" w:rsidP="00E46A75">
      <w:pPr>
        <w:pStyle w:val="ListParagraph"/>
        <w:numPr>
          <w:ilvl w:val="0"/>
          <w:numId w:val="5"/>
        </w:numPr>
        <w:spacing w:after="0" w:line="240" w:lineRule="auto"/>
        <w:jc w:val="both"/>
      </w:pPr>
      <w:r>
        <w:t xml:space="preserve">borrowing (outside of the management of </w:t>
      </w:r>
      <w:r w:rsidR="00417D03">
        <w:t>day-to-day</w:t>
      </w:r>
      <w:r>
        <w:t xml:space="preserve"> settlement flows)</w:t>
      </w:r>
    </w:p>
    <w:p w14:paraId="59576FAE" w14:textId="77777777" w:rsidR="006306D5" w:rsidRDefault="006306D5" w:rsidP="00E46A75">
      <w:pPr>
        <w:pStyle w:val="ListParagraph"/>
        <w:numPr>
          <w:ilvl w:val="0"/>
          <w:numId w:val="5"/>
        </w:numPr>
        <w:spacing w:after="0" w:line="240" w:lineRule="auto"/>
        <w:jc w:val="both"/>
      </w:pPr>
      <w:r>
        <w:t>any other form o</w:t>
      </w:r>
      <w:r w:rsidR="00671B70">
        <w:t xml:space="preserve">f </w:t>
      </w:r>
      <w:r>
        <w:t>leverage</w:t>
      </w:r>
    </w:p>
    <w:p w14:paraId="0A645F13" w14:textId="77777777" w:rsidR="006306D5" w:rsidRDefault="006306D5" w:rsidP="00E46A75">
      <w:pPr>
        <w:pStyle w:val="ListParagraph"/>
        <w:numPr>
          <w:ilvl w:val="0"/>
          <w:numId w:val="5"/>
        </w:numPr>
        <w:spacing w:after="0" w:line="240" w:lineRule="auto"/>
        <w:jc w:val="both"/>
      </w:pPr>
      <w:r>
        <w:t>shorting of positions (</w:t>
      </w:r>
      <w:r w:rsidR="007717F3">
        <w:t>i.e.</w:t>
      </w:r>
      <w:r>
        <w:t xml:space="preserve"> selling a security that a Fund does not own)</w:t>
      </w:r>
    </w:p>
    <w:p w14:paraId="47A00EDA" w14:textId="77777777" w:rsidR="005844BD" w:rsidRDefault="006306D5" w:rsidP="00E46A75">
      <w:pPr>
        <w:pStyle w:val="ListParagraph"/>
        <w:numPr>
          <w:ilvl w:val="0"/>
          <w:numId w:val="5"/>
        </w:numPr>
        <w:spacing w:after="0" w:line="240" w:lineRule="auto"/>
        <w:jc w:val="both"/>
      </w:pPr>
      <w:r>
        <w:t>stock lending (</w:t>
      </w:r>
      <w:r w:rsidR="00671B70">
        <w:t>lending the Fund’s securities to external investors</w:t>
      </w:r>
      <w:r w:rsidR="005844BD">
        <w:t>)</w:t>
      </w:r>
      <w:r w:rsidR="00671B70">
        <w:t xml:space="preserve"> </w:t>
      </w:r>
    </w:p>
    <w:p w14:paraId="6266AED0" w14:textId="77777777" w:rsidR="00671B70" w:rsidRDefault="00671B70" w:rsidP="00E46A75">
      <w:pPr>
        <w:pStyle w:val="ListParagraph"/>
        <w:numPr>
          <w:ilvl w:val="0"/>
          <w:numId w:val="5"/>
        </w:numPr>
        <w:spacing w:after="0" w:line="240" w:lineRule="auto"/>
        <w:jc w:val="both"/>
      </w:pPr>
      <w:r>
        <w:t>t</w:t>
      </w:r>
      <w:r w:rsidR="00E47488">
        <w:t>he writing of uncovered options or</w:t>
      </w:r>
      <w:r>
        <w:t xml:space="preserve"> futures </w:t>
      </w:r>
    </w:p>
    <w:p w14:paraId="184D57CD" w14:textId="77777777" w:rsidR="00634484" w:rsidRDefault="00634484" w:rsidP="00E46A75">
      <w:pPr>
        <w:pStyle w:val="ListParagraph"/>
        <w:numPr>
          <w:ilvl w:val="0"/>
          <w:numId w:val="5"/>
        </w:numPr>
        <w:spacing w:after="0" w:line="240" w:lineRule="auto"/>
        <w:jc w:val="both"/>
      </w:pPr>
      <w:proofErr w:type="gramStart"/>
      <w:r>
        <w:t>entering into</w:t>
      </w:r>
      <w:proofErr w:type="gramEnd"/>
      <w:r>
        <w:t xml:space="preserve"> swaps</w:t>
      </w:r>
      <w:r w:rsidR="007717F3">
        <w:t xml:space="preserve"> (where financial instruments are exchanged</w:t>
      </w:r>
      <w:r w:rsidR="00741035">
        <w:t xml:space="preserve"> through a derivative contract</w:t>
      </w:r>
      <w:r w:rsidR="007717F3">
        <w:t>)</w:t>
      </w:r>
    </w:p>
    <w:p w14:paraId="6A2E1F13" w14:textId="77777777" w:rsidR="00634484" w:rsidRDefault="00634484" w:rsidP="00E46A75">
      <w:pPr>
        <w:pStyle w:val="ListParagraph"/>
        <w:numPr>
          <w:ilvl w:val="0"/>
          <w:numId w:val="5"/>
        </w:numPr>
        <w:spacing w:after="0" w:line="240" w:lineRule="auto"/>
        <w:jc w:val="both"/>
      </w:pPr>
      <w:r>
        <w:t xml:space="preserve">writing insurance </w:t>
      </w:r>
    </w:p>
    <w:p w14:paraId="066B004F" w14:textId="77777777" w:rsidR="00634484" w:rsidRDefault="00634484" w:rsidP="00E46A75">
      <w:pPr>
        <w:pStyle w:val="ListParagraph"/>
        <w:numPr>
          <w:ilvl w:val="0"/>
          <w:numId w:val="5"/>
        </w:numPr>
        <w:spacing w:after="0" w:line="240" w:lineRule="auto"/>
        <w:jc w:val="both"/>
      </w:pPr>
      <w:proofErr w:type="gramStart"/>
      <w:r>
        <w:t>entering into</w:t>
      </w:r>
      <w:proofErr w:type="gramEnd"/>
      <w:r>
        <w:t xml:space="preserve"> unlimited partnerships</w:t>
      </w:r>
    </w:p>
    <w:p w14:paraId="51F79976" w14:textId="77777777" w:rsidR="00634484" w:rsidRDefault="00634484" w:rsidP="00E46A75">
      <w:pPr>
        <w:spacing w:after="0" w:line="240" w:lineRule="auto"/>
        <w:jc w:val="both"/>
      </w:pPr>
    </w:p>
    <w:p w14:paraId="22C717A4" w14:textId="77777777" w:rsidR="00670FFD" w:rsidRDefault="00634484" w:rsidP="00E46A75">
      <w:pPr>
        <w:spacing w:after="0" w:line="240" w:lineRule="auto"/>
        <w:jc w:val="both"/>
      </w:pPr>
      <w:r>
        <w:t xml:space="preserve"> The above restrictions over-ride the standard investment restrictions noted in section 6 below.</w:t>
      </w:r>
    </w:p>
    <w:p w14:paraId="4AE2A4E7" w14:textId="77777777" w:rsidR="00634484" w:rsidRDefault="00634484" w:rsidP="00E46A75">
      <w:pPr>
        <w:spacing w:after="0" w:line="240" w:lineRule="auto"/>
        <w:jc w:val="both"/>
      </w:pPr>
    </w:p>
    <w:p w14:paraId="73DCFFD7" w14:textId="77777777" w:rsidR="000B4531" w:rsidRPr="00FA6EF2" w:rsidRDefault="006C34C8" w:rsidP="00E46A75">
      <w:pPr>
        <w:pStyle w:val="ListParagraph"/>
        <w:numPr>
          <w:ilvl w:val="0"/>
          <w:numId w:val="2"/>
        </w:numPr>
        <w:spacing w:after="0" w:line="240" w:lineRule="auto"/>
        <w:jc w:val="both"/>
        <w:rPr>
          <w:b/>
        </w:rPr>
      </w:pPr>
      <w:r w:rsidRPr="00FA6EF2">
        <w:rPr>
          <w:b/>
        </w:rPr>
        <w:t>The Investment Objectives and P</w:t>
      </w:r>
      <w:r w:rsidR="00670FFD" w:rsidRPr="00FA6EF2">
        <w:rPr>
          <w:b/>
        </w:rPr>
        <w:t>arameters of the Funds</w:t>
      </w:r>
    </w:p>
    <w:p w14:paraId="004FD7B7" w14:textId="77777777" w:rsidR="00D274BF" w:rsidRDefault="00D274BF" w:rsidP="00E46A75">
      <w:pPr>
        <w:spacing w:after="0" w:line="240" w:lineRule="auto"/>
        <w:jc w:val="both"/>
        <w:rPr>
          <w:rFonts w:ascii="Calibri" w:eastAsia="Calibri" w:hAnsi="Calibri" w:cs="Times New Roman"/>
        </w:rPr>
      </w:pPr>
    </w:p>
    <w:p w14:paraId="00BE853C" w14:textId="6A17D5E5" w:rsidR="00417D03" w:rsidRDefault="0056533A" w:rsidP="00E46A75">
      <w:pPr>
        <w:spacing w:after="0" w:line="240" w:lineRule="auto"/>
        <w:jc w:val="both"/>
      </w:pPr>
      <w:r>
        <w:t xml:space="preserve">All Funds of the CFB </w:t>
      </w:r>
      <w:r w:rsidR="008D288F">
        <w:t>are</w:t>
      </w:r>
      <w:r>
        <w:t xml:space="preserve"> invested in accordance with the ethical policy of the Methodist Church. </w:t>
      </w:r>
      <w:r w:rsidR="00B84BDA">
        <w:t xml:space="preserve">Position and Policy papers on the teachings of the Church and their practical implications for investment can be found at </w:t>
      </w:r>
      <w:hyperlink r:id="rId13" w:history="1">
        <w:r w:rsidR="00486F57" w:rsidRPr="00EF6EC3">
          <w:rPr>
            <w:rStyle w:val="Hyperlink"/>
          </w:rPr>
          <w:t>www.CFBMethodistChurch.org.uk</w:t>
        </w:r>
      </w:hyperlink>
      <w:r w:rsidR="008C47AD">
        <w:rPr>
          <w:color w:val="1F497D"/>
        </w:rPr>
        <w:t xml:space="preserve">. </w:t>
      </w:r>
      <w:r w:rsidR="008C47AD" w:rsidRPr="008C47AD">
        <w:t xml:space="preserve">Where appropriate the CFB may use benchmarks to assist in the asset allocation, stock selection and performance reporting of Funds. Any </w:t>
      </w:r>
      <w:r w:rsidR="000E1BCC" w:rsidRPr="008C47AD">
        <w:t>benchmarks that</w:t>
      </w:r>
      <w:r w:rsidR="008C47AD" w:rsidRPr="008C47AD">
        <w:t xml:space="preserve"> the CFB uses will be appropriate to the investment objectives of the relevant Fund and the Fund’s potential stock universe given the extent of ethical exclusions that may apply</w:t>
      </w:r>
      <w:r w:rsidR="008C47AD">
        <w:t>.</w:t>
      </w:r>
    </w:p>
    <w:p w14:paraId="231A2833" w14:textId="77777777" w:rsidR="00417D03" w:rsidRDefault="00417D03" w:rsidP="00E46A75">
      <w:pPr>
        <w:spacing w:after="0" w:line="240" w:lineRule="auto"/>
        <w:jc w:val="both"/>
      </w:pPr>
    </w:p>
    <w:p w14:paraId="0126AAAC" w14:textId="280A02CD" w:rsidR="00400DFF" w:rsidRDefault="00400DFF" w:rsidP="00E46A75">
      <w:pPr>
        <w:spacing w:after="0" w:line="240" w:lineRule="auto"/>
        <w:jc w:val="both"/>
      </w:pPr>
      <w:r>
        <w:t>The investment objective</w:t>
      </w:r>
      <w:r w:rsidR="00625D44">
        <w:t>s</w:t>
      </w:r>
      <w:r>
        <w:t xml:space="preserve"> and parameters for each Fund are</w:t>
      </w:r>
      <w:r w:rsidR="00625D44">
        <w:t xml:space="preserve"> detailed in Appendix One</w:t>
      </w:r>
      <w:r w:rsidR="003372A9">
        <w:t>.</w:t>
      </w:r>
    </w:p>
    <w:p w14:paraId="436E40E3" w14:textId="77777777" w:rsidR="00625D44" w:rsidRDefault="00625D44" w:rsidP="00E46A75">
      <w:pPr>
        <w:spacing w:after="0" w:line="240" w:lineRule="auto"/>
        <w:jc w:val="both"/>
      </w:pPr>
    </w:p>
    <w:p w14:paraId="6B250F50" w14:textId="77777777" w:rsidR="00291398" w:rsidRDefault="00291398" w:rsidP="00E46A75">
      <w:pPr>
        <w:spacing w:after="0" w:line="240" w:lineRule="auto"/>
        <w:jc w:val="both"/>
      </w:pPr>
    </w:p>
    <w:p w14:paraId="27422538" w14:textId="77777777" w:rsidR="007C4E76" w:rsidRDefault="007C4E76" w:rsidP="00E46A75">
      <w:pPr>
        <w:spacing w:after="0" w:line="240" w:lineRule="auto"/>
        <w:jc w:val="both"/>
      </w:pPr>
    </w:p>
    <w:p w14:paraId="15D8A0E3" w14:textId="77777777" w:rsidR="00291398" w:rsidRDefault="00291398" w:rsidP="00E46A75">
      <w:pPr>
        <w:spacing w:after="0" w:line="240" w:lineRule="auto"/>
        <w:jc w:val="both"/>
      </w:pPr>
    </w:p>
    <w:p w14:paraId="77BC1D89" w14:textId="77777777" w:rsidR="00670FFD" w:rsidRPr="00FA6EF2" w:rsidRDefault="007D3A59" w:rsidP="00E46A75">
      <w:pPr>
        <w:pStyle w:val="ListParagraph"/>
        <w:numPr>
          <w:ilvl w:val="0"/>
          <w:numId w:val="2"/>
        </w:numPr>
        <w:spacing w:after="0" w:line="240" w:lineRule="auto"/>
        <w:contextualSpacing w:val="0"/>
        <w:jc w:val="both"/>
        <w:rPr>
          <w:b/>
        </w:rPr>
      </w:pPr>
      <w:r w:rsidRPr="00FA6EF2">
        <w:rPr>
          <w:b/>
        </w:rPr>
        <w:lastRenderedPageBreak/>
        <w:t>Investment restrictions</w:t>
      </w:r>
    </w:p>
    <w:p w14:paraId="06C5FCD2" w14:textId="77777777" w:rsidR="008D288F" w:rsidRDefault="008D288F" w:rsidP="00E46A75">
      <w:pPr>
        <w:spacing w:after="0" w:line="240" w:lineRule="auto"/>
        <w:jc w:val="both"/>
      </w:pPr>
    </w:p>
    <w:p w14:paraId="7480B511" w14:textId="70DA9961" w:rsidR="00723370" w:rsidRDefault="00744FAB" w:rsidP="00E46A75">
      <w:pPr>
        <w:spacing w:after="0" w:line="240" w:lineRule="auto"/>
        <w:jc w:val="both"/>
      </w:pPr>
      <w:r>
        <w:t>The CFB F</w:t>
      </w:r>
      <w:r w:rsidR="008D288F">
        <w:t xml:space="preserve">unds will not breach any of the investment restrictions set out </w:t>
      </w:r>
      <w:r w:rsidR="00C05B60">
        <w:t>below. These restrictions largely follow those set out in the FCA’s Handbook for Non UCIT Retail Schemes (NURS) except for the unlimited exposure to any single collective scheme (limited to 35% in the FCA restrictions related to NURS)</w:t>
      </w:r>
    </w:p>
    <w:p w14:paraId="08AF3089" w14:textId="77777777" w:rsidR="009E5F75" w:rsidRDefault="009E5F75" w:rsidP="00E46A75">
      <w:pPr>
        <w:spacing w:after="0" w:line="240" w:lineRule="auto"/>
        <w:jc w:val="both"/>
      </w:pPr>
    </w:p>
    <w:tbl>
      <w:tblPr>
        <w:tblStyle w:val="TableGrid"/>
        <w:tblW w:w="0" w:type="auto"/>
        <w:tblLook w:val="04A0" w:firstRow="1" w:lastRow="0" w:firstColumn="1" w:lastColumn="0" w:noHBand="0" w:noVBand="1"/>
      </w:tblPr>
      <w:tblGrid>
        <w:gridCol w:w="6175"/>
        <w:gridCol w:w="2841"/>
      </w:tblGrid>
      <w:tr w:rsidR="00723370" w14:paraId="2FC8BC36" w14:textId="77777777" w:rsidTr="00723370">
        <w:tc>
          <w:tcPr>
            <w:tcW w:w="6345" w:type="dxa"/>
          </w:tcPr>
          <w:p w14:paraId="43E5A5DA" w14:textId="77777777" w:rsidR="00723370" w:rsidRPr="00723370" w:rsidRDefault="00723370" w:rsidP="00E46A75">
            <w:pPr>
              <w:jc w:val="both"/>
              <w:rPr>
                <w:rFonts w:asciiTheme="minorHAnsi" w:hAnsiTheme="minorHAnsi"/>
                <w:b/>
                <w:sz w:val="18"/>
                <w:szCs w:val="18"/>
              </w:rPr>
            </w:pPr>
            <w:r w:rsidRPr="00723370">
              <w:rPr>
                <w:rFonts w:asciiTheme="minorHAnsi" w:hAnsiTheme="minorHAnsi"/>
                <w:b/>
                <w:sz w:val="18"/>
                <w:szCs w:val="18"/>
              </w:rPr>
              <w:t>Issue</w:t>
            </w:r>
          </w:p>
        </w:tc>
        <w:tc>
          <w:tcPr>
            <w:tcW w:w="2897" w:type="dxa"/>
          </w:tcPr>
          <w:p w14:paraId="5C186ADE" w14:textId="77777777" w:rsidR="00723370" w:rsidRPr="00723370" w:rsidRDefault="00723370" w:rsidP="00E46A75">
            <w:pPr>
              <w:jc w:val="both"/>
              <w:rPr>
                <w:rFonts w:asciiTheme="minorHAnsi" w:hAnsiTheme="minorHAnsi"/>
                <w:b/>
                <w:sz w:val="18"/>
                <w:szCs w:val="18"/>
              </w:rPr>
            </w:pPr>
            <w:r w:rsidRPr="00723370">
              <w:rPr>
                <w:rFonts w:asciiTheme="minorHAnsi" w:hAnsiTheme="minorHAnsi"/>
                <w:b/>
                <w:sz w:val="18"/>
                <w:szCs w:val="18"/>
              </w:rPr>
              <w:t>Limit</w:t>
            </w:r>
          </w:p>
        </w:tc>
      </w:tr>
      <w:tr w:rsidR="00723370" w14:paraId="69CCF110" w14:textId="77777777" w:rsidTr="00723370">
        <w:tc>
          <w:tcPr>
            <w:tcW w:w="6345" w:type="dxa"/>
          </w:tcPr>
          <w:p w14:paraId="42E93D3B" w14:textId="77777777" w:rsidR="00723370" w:rsidRPr="00723370" w:rsidRDefault="00240058" w:rsidP="00E46A75">
            <w:pPr>
              <w:jc w:val="both"/>
              <w:rPr>
                <w:rFonts w:asciiTheme="minorHAnsi" w:hAnsiTheme="minorHAnsi"/>
                <w:sz w:val="18"/>
                <w:szCs w:val="18"/>
              </w:rPr>
            </w:pPr>
            <w:r>
              <w:rPr>
                <w:rFonts w:asciiTheme="minorHAnsi" w:hAnsiTheme="minorHAnsi"/>
                <w:sz w:val="18"/>
                <w:szCs w:val="18"/>
              </w:rPr>
              <w:t>Approved transferable securities (including investment trusts)</w:t>
            </w:r>
          </w:p>
        </w:tc>
        <w:tc>
          <w:tcPr>
            <w:tcW w:w="2897" w:type="dxa"/>
          </w:tcPr>
          <w:p w14:paraId="08DEE391" w14:textId="77777777" w:rsidR="00723370" w:rsidRPr="00723370" w:rsidRDefault="00240058" w:rsidP="00E46A75">
            <w:pPr>
              <w:jc w:val="both"/>
              <w:rPr>
                <w:rFonts w:asciiTheme="minorHAnsi" w:hAnsiTheme="minorHAnsi"/>
                <w:sz w:val="18"/>
                <w:szCs w:val="18"/>
              </w:rPr>
            </w:pPr>
            <w:r>
              <w:rPr>
                <w:rFonts w:asciiTheme="minorHAnsi" w:hAnsiTheme="minorHAnsi"/>
                <w:sz w:val="18"/>
                <w:szCs w:val="18"/>
              </w:rPr>
              <w:t>Up to 100%</w:t>
            </w:r>
          </w:p>
        </w:tc>
      </w:tr>
      <w:tr w:rsidR="00723370" w14:paraId="6F13D835" w14:textId="77777777" w:rsidTr="00723370">
        <w:tc>
          <w:tcPr>
            <w:tcW w:w="6345" w:type="dxa"/>
          </w:tcPr>
          <w:p w14:paraId="7648E646" w14:textId="77777777" w:rsidR="00723370" w:rsidRPr="00723370" w:rsidRDefault="00240058" w:rsidP="00E46A75">
            <w:pPr>
              <w:jc w:val="both"/>
              <w:rPr>
                <w:rFonts w:asciiTheme="minorHAnsi" w:hAnsiTheme="minorHAnsi"/>
                <w:sz w:val="18"/>
                <w:szCs w:val="18"/>
              </w:rPr>
            </w:pPr>
            <w:r>
              <w:rPr>
                <w:rFonts w:asciiTheme="minorHAnsi" w:hAnsiTheme="minorHAnsi"/>
                <w:sz w:val="18"/>
                <w:szCs w:val="18"/>
              </w:rPr>
              <w:t>Unapproved transferable securities</w:t>
            </w:r>
          </w:p>
        </w:tc>
        <w:tc>
          <w:tcPr>
            <w:tcW w:w="2897" w:type="dxa"/>
          </w:tcPr>
          <w:p w14:paraId="65B7081C" w14:textId="77777777" w:rsidR="00723370" w:rsidRDefault="00240058" w:rsidP="00E46A75">
            <w:pPr>
              <w:jc w:val="both"/>
              <w:rPr>
                <w:rFonts w:asciiTheme="minorHAnsi" w:hAnsiTheme="minorHAnsi"/>
                <w:sz w:val="18"/>
                <w:szCs w:val="18"/>
              </w:rPr>
            </w:pPr>
            <w:r>
              <w:rPr>
                <w:rFonts w:asciiTheme="minorHAnsi" w:hAnsiTheme="minorHAnsi"/>
                <w:sz w:val="18"/>
                <w:szCs w:val="18"/>
              </w:rPr>
              <w:t>Up to 20%</w:t>
            </w:r>
          </w:p>
          <w:p w14:paraId="39BEFD9A" w14:textId="77777777" w:rsidR="00240058" w:rsidRPr="00240058" w:rsidRDefault="00240058" w:rsidP="00E46A75">
            <w:pPr>
              <w:jc w:val="both"/>
              <w:rPr>
                <w:rFonts w:asciiTheme="minorHAnsi" w:hAnsiTheme="minorHAnsi"/>
                <w:i/>
                <w:sz w:val="18"/>
                <w:szCs w:val="18"/>
              </w:rPr>
            </w:pPr>
            <w:r>
              <w:rPr>
                <w:rFonts w:asciiTheme="minorHAnsi" w:hAnsiTheme="minorHAnsi"/>
                <w:i/>
                <w:sz w:val="18"/>
                <w:szCs w:val="18"/>
              </w:rPr>
              <w:t>(in combination with unapproved collective investment schemes)</w:t>
            </w:r>
          </w:p>
        </w:tc>
      </w:tr>
      <w:tr w:rsidR="00723370" w14:paraId="33B54940" w14:textId="77777777" w:rsidTr="00723370">
        <w:tc>
          <w:tcPr>
            <w:tcW w:w="6345" w:type="dxa"/>
          </w:tcPr>
          <w:p w14:paraId="675A4C3B" w14:textId="77777777" w:rsidR="00723370" w:rsidRPr="00723370" w:rsidRDefault="00240058" w:rsidP="00E46A75">
            <w:pPr>
              <w:jc w:val="both"/>
              <w:rPr>
                <w:rFonts w:asciiTheme="minorHAnsi" w:hAnsiTheme="minorHAnsi"/>
                <w:sz w:val="18"/>
                <w:szCs w:val="18"/>
              </w:rPr>
            </w:pPr>
            <w:r>
              <w:rPr>
                <w:rFonts w:asciiTheme="minorHAnsi" w:hAnsiTheme="minorHAnsi"/>
                <w:sz w:val="18"/>
                <w:szCs w:val="18"/>
              </w:rPr>
              <w:t>Approved collective investment schemes (open-ended)</w:t>
            </w:r>
          </w:p>
        </w:tc>
        <w:tc>
          <w:tcPr>
            <w:tcW w:w="2897" w:type="dxa"/>
          </w:tcPr>
          <w:p w14:paraId="0E2B71B1" w14:textId="77777777" w:rsidR="00723370" w:rsidRPr="00723370" w:rsidRDefault="00240058" w:rsidP="00E46A75">
            <w:pPr>
              <w:jc w:val="both"/>
              <w:rPr>
                <w:rFonts w:asciiTheme="minorHAnsi" w:hAnsiTheme="minorHAnsi"/>
                <w:sz w:val="18"/>
                <w:szCs w:val="18"/>
              </w:rPr>
            </w:pPr>
            <w:r>
              <w:rPr>
                <w:rFonts w:asciiTheme="minorHAnsi" w:hAnsiTheme="minorHAnsi"/>
                <w:sz w:val="18"/>
                <w:szCs w:val="18"/>
              </w:rPr>
              <w:t>Up to 100%</w:t>
            </w:r>
          </w:p>
        </w:tc>
      </w:tr>
      <w:tr w:rsidR="00723370" w14:paraId="0EDE6C2E" w14:textId="77777777" w:rsidTr="00723370">
        <w:tc>
          <w:tcPr>
            <w:tcW w:w="6345" w:type="dxa"/>
          </w:tcPr>
          <w:p w14:paraId="4CC7EDB2" w14:textId="77777777" w:rsidR="00723370" w:rsidRPr="00723370" w:rsidRDefault="00240058" w:rsidP="00E46A75">
            <w:pPr>
              <w:jc w:val="both"/>
              <w:rPr>
                <w:rFonts w:asciiTheme="minorHAnsi" w:hAnsiTheme="minorHAnsi"/>
                <w:sz w:val="18"/>
                <w:szCs w:val="18"/>
              </w:rPr>
            </w:pPr>
            <w:r>
              <w:rPr>
                <w:rFonts w:asciiTheme="minorHAnsi" w:hAnsiTheme="minorHAnsi"/>
                <w:sz w:val="18"/>
                <w:szCs w:val="18"/>
              </w:rPr>
              <w:t>Maximum in any single collective investment scheme</w:t>
            </w:r>
          </w:p>
        </w:tc>
        <w:tc>
          <w:tcPr>
            <w:tcW w:w="2897" w:type="dxa"/>
          </w:tcPr>
          <w:p w14:paraId="2CF6B083" w14:textId="0D3B0C29" w:rsidR="00723370" w:rsidRPr="00723370" w:rsidRDefault="00240058" w:rsidP="00E46A75">
            <w:pPr>
              <w:jc w:val="both"/>
              <w:rPr>
                <w:rFonts w:asciiTheme="minorHAnsi" w:hAnsiTheme="minorHAnsi"/>
                <w:sz w:val="18"/>
                <w:szCs w:val="18"/>
              </w:rPr>
            </w:pPr>
            <w:r>
              <w:rPr>
                <w:rFonts w:asciiTheme="minorHAnsi" w:hAnsiTheme="minorHAnsi"/>
                <w:sz w:val="18"/>
                <w:szCs w:val="18"/>
              </w:rPr>
              <w:t xml:space="preserve">Up to </w:t>
            </w:r>
            <w:r w:rsidR="00C05B60">
              <w:rPr>
                <w:rFonts w:asciiTheme="minorHAnsi" w:hAnsiTheme="minorHAnsi"/>
                <w:sz w:val="18"/>
                <w:szCs w:val="18"/>
              </w:rPr>
              <w:t>100%</w:t>
            </w:r>
          </w:p>
        </w:tc>
      </w:tr>
      <w:tr w:rsidR="00723370" w14:paraId="782BAF30" w14:textId="77777777" w:rsidTr="00723370">
        <w:tc>
          <w:tcPr>
            <w:tcW w:w="6345" w:type="dxa"/>
          </w:tcPr>
          <w:p w14:paraId="05E8EB58" w14:textId="77777777" w:rsidR="00723370" w:rsidRPr="00723370" w:rsidRDefault="00240058" w:rsidP="00E46A75">
            <w:pPr>
              <w:jc w:val="both"/>
              <w:rPr>
                <w:rFonts w:asciiTheme="minorHAnsi" w:hAnsiTheme="minorHAnsi"/>
                <w:sz w:val="18"/>
                <w:szCs w:val="18"/>
              </w:rPr>
            </w:pPr>
            <w:r>
              <w:rPr>
                <w:rFonts w:asciiTheme="minorHAnsi" w:hAnsiTheme="minorHAnsi"/>
                <w:sz w:val="18"/>
                <w:szCs w:val="18"/>
              </w:rPr>
              <w:t xml:space="preserve">Unapproved collective investment schemes </w:t>
            </w:r>
            <w:r w:rsidR="000F5740">
              <w:rPr>
                <w:rFonts w:asciiTheme="minorHAnsi" w:hAnsiTheme="minorHAnsi"/>
                <w:sz w:val="18"/>
                <w:szCs w:val="18"/>
              </w:rPr>
              <w:t>(other than the Funds of the United Methodist Church which have no limit)</w:t>
            </w:r>
          </w:p>
        </w:tc>
        <w:tc>
          <w:tcPr>
            <w:tcW w:w="2897" w:type="dxa"/>
          </w:tcPr>
          <w:p w14:paraId="53993F26" w14:textId="77777777" w:rsidR="00723370" w:rsidRDefault="00240058" w:rsidP="00E46A75">
            <w:pPr>
              <w:jc w:val="both"/>
              <w:rPr>
                <w:rFonts w:asciiTheme="minorHAnsi" w:hAnsiTheme="minorHAnsi"/>
                <w:sz w:val="18"/>
                <w:szCs w:val="18"/>
              </w:rPr>
            </w:pPr>
            <w:r>
              <w:rPr>
                <w:rFonts w:asciiTheme="minorHAnsi" w:hAnsiTheme="minorHAnsi"/>
                <w:sz w:val="18"/>
                <w:szCs w:val="18"/>
              </w:rPr>
              <w:t>Up to 20%</w:t>
            </w:r>
          </w:p>
          <w:p w14:paraId="391866C7" w14:textId="77777777" w:rsidR="00240058" w:rsidRPr="00240058" w:rsidRDefault="00240058" w:rsidP="00E46A75">
            <w:pPr>
              <w:jc w:val="both"/>
              <w:rPr>
                <w:rFonts w:asciiTheme="minorHAnsi" w:hAnsiTheme="minorHAnsi"/>
                <w:i/>
                <w:sz w:val="18"/>
                <w:szCs w:val="18"/>
              </w:rPr>
            </w:pPr>
            <w:r>
              <w:rPr>
                <w:rFonts w:asciiTheme="minorHAnsi" w:hAnsiTheme="minorHAnsi"/>
                <w:i/>
                <w:sz w:val="18"/>
                <w:szCs w:val="18"/>
              </w:rPr>
              <w:t>(in combination with unapproved transferable securities)</w:t>
            </w:r>
          </w:p>
        </w:tc>
      </w:tr>
      <w:tr w:rsidR="00723370" w14:paraId="78F2B0A8" w14:textId="77777777" w:rsidTr="00723370">
        <w:tc>
          <w:tcPr>
            <w:tcW w:w="6345" w:type="dxa"/>
          </w:tcPr>
          <w:p w14:paraId="3EECCEE8" w14:textId="77777777" w:rsidR="00723370" w:rsidRPr="00723370" w:rsidRDefault="00240058" w:rsidP="00E46A75">
            <w:pPr>
              <w:jc w:val="both"/>
              <w:rPr>
                <w:rFonts w:asciiTheme="minorHAnsi" w:hAnsiTheme="minorHAnsi"/>
                <w:sz w:val="18"/>
                <w:szCs w:val="18"/>
              </w:rPr>
            </w:pPr>
            <w:r>
              <w:rPr>
                <w:rFonts w:asciiTheme="minorHAnsi" w:hAnsiTheme="minorHAnsi"/>
                <w:sz w:val="18"/>
                <w:szCs w:val="18"/>
              </w:rPr>
              <w:t>Warrants (in the absence of specific risk warnings)</w:t>
            </w:r>
          </w:p>
        </w:tc>
        <w:tc>
          <w:tcPr>
            <w:tcW w:w="2897" w:type="dxa"/>
          </w:tcPr>
          <w:p w14:paraId="1DCA6789" w14:textId="77777777" w:rsidR="00723370" w:rsidRPr="00723370" w:rsidRDefault="00240058" w:rsidP="00E46A75">
            <w:pPr>
              <w:jc w:val="both"/>
              <w:rPr>
                <w:rFonts w:asciiTheme="minorHAnsi" w:hAnsiTheme="minorHAnsi"/>
                <w:sz w:val="18"/>
                <w:szCs w:val="18"/>
              </w:rPr>
            </w:pPr>
            <w:r>
              <w:rPr>
                <w:rFonts w:asciiTheme="minorHAnsi" w:hAnsiTheme="minorHAnsi"/>
                <w:sz w:val="18"/>
                <w:szCs w:val="18"/>
              </w:rPr>
              <w:t>Up to 5%</w:t>
            </w:r>
          </w:p>
        </w:tc>
      </w:tr>
      <w:tr w:rsidR="00723370" w14:paraId="092B1EE4" w14:textId="77777777" w:rsidTr="00723370">
        <w:tc>
          <w:tcPr>
            <w:tcW w:w="6345" w:type="dxa"/>
          </w:tcPr>
          <w:p w14:paraId="11701E96" w14:textId="77777777" w:rsidR="00723370" w:rsidRPr="00723370" w:rsidRDefault="00240058" w:rsidP="00E46A75">
            <w:pPr>
              <w:jc w:val="both"/>
              <w:rPr>
                <w:rFonts w:asciiTheme="minorHAnsi" w:hAnsiTheme="minorHAnsi"/>
                <w:sz w:val="18"/>
                <w:szCs w:val="18"/>
              </w:rPr>
            </w:pPr>
            <w:r>
              <w:rPr>
                <w:rFonts w:asciiTheme="minorHAnsi" w:hAnsiTheme="minorHAnsi"/>
                <w:sz w:val="18"/>
                <w:szCs w:val="18"/>
              </w:rPr>
              <w:t>Deposits (with any single institution)</w:t>
            </w:r>
          </w:p>
        </w:tc>
        <w:tc>
          <w:tcPr>
            <w:tcW w:w="2897" w:type="dxa"/>
          </w:tcPr>
          <w:p w14:paraId="15521638" w14:textId="77777777" w:rsidR="00723370" w:rsidRPr="00723370" w:rsidRDefault="00240058" w:rsidP="00E46A75">
            <w:pPr>
              <w:jc w:val="both"/>
              <w:rPr>
                <w:rFonts w:asciiTheme="minorHAnsi" w:hAnsiTheme="minorHAnsi"/>
                <w:sz w:val="18"/>
                <w:szCs w:val="18"/>
              </w:rPr>
            </w:pPr>
            <w:r>
              <w:rPr>
                <w:rFonts w:asciiTheme="minorHAnsi" w:hAnsiTheme="minorHAnsi"/>
                <w:sz w:val="18"/>
                <w:szCs w:val="18"/>
              </w:rPr>
              <w:t>Up to 20%</w:t>
            </w:r>
          </w:p>
        </w:tc>
      </w:tr>
      <w:tr w:rsidR="00723370" w14:paraId="1038A13D" w14:textId="77777777" w:rsidTr="00723370">
        <w:tc>
          <w:tcPr>
            <w:tcW w:w="6345" w:type="dxa"/>
          </w:tcPr>
          <w:p w14:paraId="564CBB50" w14:textId="77777777" w:rsidR="00723370" w:rsidRPr="00723370" w:rsidRDefault="009B30E8" w:rsidP="00E46A75">
            <w:pPr>
              <w:jc w:val="both"/>
              <w:rPr>
                <w:rFonts w:asciiTheme="minorHAnsi" w:hAnsiTheme="minorHAnsi"/>
                <w:sz w:val="18"/>
                <w:szCs w:val="18"/>
              </w:rPr>
            </w:pPr>
            <w:r>
              <w:rPr>
                <w:rFonts w:asciiTheme="minorHAnsi" w:hAnsiTheme="minorHAnsi"/>
                <w:sz w:val="18"/>
                <w:szCs w:val="18"/>
              </w:rPr>
              <w:t>Cash and near cash</w:t>
            </w:r>
          </w:p>
        </w:tc>
        <w:tc>
          <w:tcPr>
            <w:tcW w:w="2897" w:type="dxa"/>
          </w:tcPr>
          <w:p w14:paraId="58BAC587" w14:textId="77777777" w:rsidR="00723370" w:rsidRPr="00723370" w:rsidRDefault="009B30E8" w:rsidP="00E46A75">
            <w:pPr>
              <w:jc w:val="both"/>
              <w:rPr>
                <w:rFonts w:asciiTheme="minorHAnsi" w:hAnsiTheme="minorHAnsi"/>
                <w:sz w:val="18"/>
                <w:szCs w:val="18"/>
              </w:rPr>
            </w:pPr>
            <w:r>
              <w:rPr>
                <w:rFonts w:asciiTheme="minorHAnsi" w:hAnsiTheme="minorHAnsi"/>
                <w:sz w:val="18"/>
                <w:szCs w:val="18"/>
              </w:rPr>
              <w:t>Permitted for liquidity and other ancillary purposes</w:t>
            </w:r>
          </w:p>
        </w:tc>
      </w:tr>
      <w:tr w:rsidR="00723370" w14:paraId="6DAB9C71" w14:textId="77777777" w:rsidTr="00723370">
        <w:tc>
          <w:tcPr>
            <w:tcW w:w="6345" w:type="dxa"/>
          </w:tcPr>
          <w:p w14:paraId="678E68CA" w14:textId="77777777" w:rsidR="00723370" w:rsidRPr="00723370" w:rsidRDefault="009B30E8" w:rsidP="00E46A75">
            <w:pPr>
              <w:jc w:val="both"/>
              <w:rPr>
                <w:rFonts w:asciiTheme="minorHAnsi" w:hAnsiTheme="minorHAnsi"/>
                <w:sz w:val="18"/>
                <w:szCs w:val="18"/>
              </w:rPr>
            </w:pPr>
            <w:r>
              <w:rPr>
                <w:rFonts w:asciiTheme="minorHAnsi" w:hAnsiTheme="minorHAnsi"/>
                <w:sz w:val="18"/>
                <w:szCs w:val="18"/>
              </w:rPr>
              <w:t>Derivatives</w:t>
            </w:r>
          </w:p>
        </w:tc>
        <w:tc>
          <w:tcPr>
            <w:tcW w:w="2897" w:type="dxa"/>
          </w:tcPr>
          <w:p w14:paraId="5D570019" w14:textId="77777777" w:rsidR="00723370" w:rsidRPr="00723370" w:rsidRDefault="009B30E8" w:rsidP="00E46A75">
            <w:pPr>
              <w:jc w:val="both"/>
              <w:rPr>
                <w:rFonts w:asciiTheme="minorHAnsi" w:hAnsiTheme="minorHAnsi"/>
                <w:sz w:val="18"/>
                <w:szCs w:val="18"/>
              </w:rPr>
            </w:pPr>
            <w:r>
              <w:rPr>
                <w:rFonts w:asciiTheme="minorHAnsi" w:hAnsiTheme="minorHAnsi"/>
                <w:sz w:val="18"/>
                <w:szCs w:val="18"/>
              </w:rPr>
              <w:t>Permitted for efficient management and investment purposes</w:t>
            </w:r>
          </w:p>
        </w:tc>
      </w:tr>
      <w:tr w:rsidR="009B30E8" w:rsidRPr="009B30E8" w14:paraId="3F8931AF" w14:textId="77777777" w:rsidTr="00723370">
        <w:tc>
          <w:tcPr>
            <w:tcW w:w="6345" w:type="dxa"/>
          </w:tcPr>
          <w:p w14:paraId="6B9D8153" w14:textId="77777777" w:rsidR="009B30E8" w:rsidRPr="009B30E8" w:rsidRDefault="009B30E8" w:rsidP="00E46A75">
            <w:pPr>
              <w:jc w:val="both"/>
              <w:rPr>
                <w:rFonts w:asciiTheme="minorHAnsi" w:hAnsiTheme="minorHAnsi"/>
                <w:sz w:val="18"/>
                <w:szCs w:val="18"/>
              </w:rPr>
            </w:pPr>
            <w:r w:rsidRPr="009B30E8">
              <w:rPr>
                <w:rFonts w:asciiTheme="minorHAnsi" w:hAnsiTheme="minorHAnsi"/>
                <w:sz w:val="18"/>
                <w:szCs w:val="18"/>
              </w:rPr>
              <w:t>Real property</w:t>
            </w:r>
          </w:p>
        </w:tc>
        <w:tc>
          <w:tcPr>
            <w:tcW w:w="2897" w:type="dxa"/>
          </w:tcPr>
          <w:p w14:paraId="14774B1C" w14:textId="77777777" w:rsidR="009B30E8" w:rsidRPr="009B30E8" w:rsidRDefault="009B30E8" w:rsidP="00E46A75">
            <w:pPr>
              <w:jc w:val="both"/>
              <w:rPr>
                <w:rFonts w:asciiTheme="minorHAnsi" w:hAnsiTheme="minorHAnsi"/>
                <w:sz w:val="18"/>
                <w:szCs w:val="18"/>
              </w:rPr>
            </w:pPr>
            <w:r w:rsidRPr="009B30E8">
              <w:rPr>
                <w:rFonts w:asciiTheme="minorHAnsi" w:hAnsiTheme="minorHAnsi"/>
                <w:sz w:val="18"/>
                <w:szCs w:val="18"/>
              </w:rPr>
              <w:t>Up to 100%</w:t>
            </w:r>
          </w:p>
        </w:tc>
      </w:tr>
      <w:tr w:rsidR="009B30E8" w:rsidRPr="009B30E8" w14:paraId="732D261F" w14:textId="77777777" w:rsidTr="00723370">
        <w:tc>
          <w:tcPr>
            <w:tcW w:w="6345" w:type="dxa"/>
          </w:tcPr>
          <w:p w14:paraId="0D43EF7A" w14:textId="77777777" w:rsidR="009B30E8" w:rsidRPr="009B30E8" w:rsidRDefault="009B30E8" w:rsidP="00E46A75">
            <w:pPr>
              <w:jc w:val="both"/>
              <w:rPr>
                <w:rFonts w:asciiTheme="minorHAnsi" w:hAnsiTheme="minorHAnsi"/>
                <w:sz w:val="18"/>
                <w:szCs w:val="18"/>
              </w:rPr>
            </w:pPr>
            <w:r w:rsidRPr="009B30E8">
              <w:rPr>
                <w:rFonts w:asciiTheme="minorHAnsi" w:hAnsiTheme="minorHAnsi"/>
                <w:sz w:val="18"/>
                <w:szCs w:val="18"/>
              </w:rPr>
              <w:t>Commodities</w:t>
            </w:r>
          </w:p>
        </w:tc>
        <w:tc>
          <w:tcPr>
            <w:tcW w:w="2897" w:type="dxa"/>
          </w:tcPr>
          <w:p w14:paraId="0246DA30" w14:textId="77777777" w:rsidR="009B30E8" w:rsidRPr="009B30E8" w:rsidRDefault="009B30E8" w:rsidP="00E46A75">
            <w:pPr>
              <w:jc w:val="both"/>
              <w:rPr>
                <w:rFonts w:asciiTheme="minorHAnsi" w:hAnsiTheme="minorHAnsi"/>
                <w:sz w:val="18"/>
                <w:szCs w:val="18"/>
              </w:rPr>
            </w:pPr>
            <w:r w:rsidRPr="009B30E8">
              <w:rPr>
                <w:rFonts w:asciiTheme="minorHAnsi" w:hAnsiTheme="minorHAnsi"/>
                <w:sz w:val="18"/>
                <w:szCs w:val="18"/>
              </w:rPr>
              <w:t>Up to 10% in gold only</w:t>
            </w:r>
          </w:p>
        </w:tc>
      </w:tr>
      <w:tr w:rsidR="00160F81" w:rsidRPr="00160F81" w14:paraId="0E97EE14" w14:textId="77777777" w:rsidTr="00723370">
        <w:tc>
          <w:tcPr>
            <w:tcW w:w="6345" w:type="dxa"/>
          </w:tcPr>
          <w:p w14:paraId="261C666E" w14:textId="77777777" w:rsidR="00160F81" w:rsidRPr="00160F81" w:rsidRDefault="00160F81" w:rsidP="00E46A75">
            <w:pPr>
              <w:jc w:val="both"/>
              <w:rPr>
                <w:rFonts w:asciiTheme="minorHAnsi" w:hAnsiTheme="minorHAnsi"/>
                <w:sz w:val="18"/>
                <w:szCs w:val="18"/>
              </w:rPr>
            </w:pPr>
            <w:r w:rsidRPr="00160F81">
              <w:rPr>
                <w:rFonts w:asciiTheme="minorHAnsi" w:hAnsiTheme="minorHAnsi"/>
                <w:sz w:val="18"/>
                <w:szCs w:val="18"/>
              </w:rPr>
              <w:t>Borrowing</w:t>
            </w:r>
          </w:p>
        </w:tc>
        <w:tc>
          <w:tcPr>
            <w:tcW w:w="2897" w:type="dxa"/>
          </w:tcPr>
          <w:p w14:paraId="2A925B69" w14:textId="77777777" w:rsidR="00160F81" w:rsidRDefault="00160F81" w:rsidP="00E46A75">
            <w:pPr>
              <w:jc w:val="both"/>
              <w:rPr>
                <w:rFonts w:asciiTheme="minorHAnsi" w:hAnsiTheme="minorHAnsi"/>
                <w:sz w:val="18"/>
                <w:szCs w:val="18"/>
              </w:rPr>
            </w:pPr>
            <w:r w:rsidRPr="00160F81">
              <w:rPr>
                <w:rFonts w:asciiTheme="minorHAnsi" w:hAnsiTheme="minorHAnsi"/>
                <w:sz w:val="18"/>
                <w:szCs w:val="18"/>
              </w:rPr>
              <w:t>Up to 10%</w:t>
            </w:r>
          </w:p>
          <w:p w14:paraId="4BC98FA1" w14:textId="77777777" w:rsidR="00160F81" w:rsidRPr="00160F81" w:rsidRDefault="00160F81" w:rsidP="00E46A75">
            <w:pPr>
              <w:jc w:val="both"/>
              <w:rPr>
                <w:rFonts w:asciiTheme="minorHAnsi" w:hAnsiTheme="minorHAnsi"/>
                <w:sz w:val="18"/>
                <w:szCs w:val="18"/>
              </w:rPr>
            </w:pPr>
            <w:r>
              <w:rPr>
                <w:rFonts w:asciiTheme="minorHAnsi" w:hAnsiTheme="minorHAnsi"/>
                <w:sz w:val="18"/>
                <w:szCs w:val="18"/>
              </w:rPr>
              <w:t xml:space="preserve">Only to be used for management of </w:t>
            </w:r>
            <w:proofErr w:type="gramStart"/>
            <w:r>
              <w:rPr>
                <w:rFonts w:asciiTheme="minorHAnsi" w:hAnsiTheme="minorHAnsi"/>
                <w:sz w:val="18"/>
                <w:szCs w:val="18"/>
              </w:rPr>
              <w:t>day to day</w:t>
            </w:r>
            <w:proofErr w:type="gramEnd"/>
            <w:r>
              <w:rPr>
                <w:rFonts w:asciiTheme="minorHAnsi" w:hAnsiTheme="minorHAnsi"/>
                <w:sz w:val="18"/>
                <w:szCs w:val="18"/>
              </w:rPr>
              <w:t xml:space="preserve"> settlement flows</w:t>
            </w:r>
          </w:p>
        </w:tc>
      </w:tr>
    </w:tbl>
    <w:p w14:paraId="75953FE4" w14:textId="77777777" w:rsidR="000E1BCC" w:rsidRPr="00140E23" w:rsidRDefault="000E1BCC" w:rsidP="00140E23">
      <w:pPr>
        <w:pStyle w:val="ListParagraph"/>
        <w:spacing w:after="0" w:line="240" w:lineRule="auto"/>
        <w:ind w:left="786"/>
        <w:contextualSpacing w:val="0"/>
        <w:jc w:val="both"/>
      </w:pPr>
    </w:p>
    <w:p w14:paraId="79C10ABB" w14:textId="77777777" w:rsidR="000E1BCC" w:rsidRPr="00140E23" w:rsidRDefault="000E1BCC" w:rsidP="00140E23">
      <w:pPr>
        <w:spacing w:after="0" w:line="240" w:lineRule="auto"/>
        <w:ind w:left="426"/>
        <w:jc w:val="both"/>
      </w:pPr>
    </w:p>
    <w:p w14:paraId="7DC5A057" w14:textId="77777777" w:rsidR="00160F81" w:rsidRPr="00160F81" w:rsidRDefault="00981804" w:rsidP="00E46A75">
      <w:pPr>
        <w:pStyle w:val="ListParagraph"/>
        <w:numPr>
          <w:ilvl w:val="0"/>
          <w:numId w:val="2"/>
        </w:numPr>
        <w:spacing w:after="0" w:line="240" w:lineRule="auto"/>
        <w:contextualSpacing w:val="0"/>
        <w:jc w:val="both"/>
      </w:pPr>
      <w:r>
        <w:rPr>
          <w:b/>
        </w:rPr>
        <w:t xml:space="preserve">Excluded </w:t>
      </w:r>
      <w:r w:rsidR="007D3A59" w:rsidRPr="00160F81">
        <w:rPr>
          <w:b/>
        </w:rPr>
        <w:t>securities</w:t>
      </w:r>
    </w:p>
    <w:p w14:paraId="21A525EA" w14:textId="77777777" w:rsidR="00160F81" w:rsidRDefault="00160F81" w:rsidP="00E46A75">
      <w:pPr>
        <w:pStyle w:val="ListParagraph"/>
        <w:spacing w:after="0" w:line="240" w:lineRule="auto"/>
        <w:ind w:left="786"/>
        <w:contextualSpacing w:val="0"/>
        <w:jc w:val="both"/>
        <w:rPr>
          <w:b/>
        </w:rPr>
      </w:pPr>
    </w:p>
    <w:p w14:paraId="57AC42AB" w14:textId="42C5D7D9" w:rsidR="00B84BDA" w:rsidRDefault="00160F81" w:rsidP="00E46A75">
      <w:pPr>
        <w:spacing w:after="0" w:line="240" w:lineRule="auto"/>
        <w:jc w:val="both"/>
      </w:pPr>
      <w:r w:rsidRPr="00160F81">
        <w:t>No securities</w:t>
      </w:r>
      <w:r w:rsidR="00B84BDA">
        <w:t xml:space="preserve">, debt issues or deposits </w:t>
      </w:r>
      <w:r>
        <w:t xml:space="preserve">will be held </w:t>
      </w:r>
      <w:r w:rsidR="00744FAB">
        <w:t>in c</w:t>
      </w:r>
      <w:r w:rsidR="00B84BDA">
        <w:t xml:space="preserve">ompanies or </w:t>
      </w:r>
      <w:r w:rsidR="00744FAB">
        <w:t>other borrower</w:t>
      </w:r>
      <w:r w:rsidR="00B84BDA">
        <w:t xml:space="preserve">s </w:t>
      </w:r>
      <w:r>
        <w:t xml:space="preserve">that infringe the </w:t>
      </w:r>
      <w:r w:rsidR="00981804">
        <w:t xml:space="preserve">recommended exclusions </w:t>
      </w:r>
      <w:r>
        <w:t>of the Joint Committee of the Ethics of Investment of the Methodist Church</w:t>
      </w:r>
      <w:r w:rsidR="00B84BDA">
        <w:t xml:space="preserve"> (JACEI)</w:t>
      </w:r>
      <w:r w:rsidR="00981804">
        <w:t xml:space="preserve">. </w:t>
      </w:r>
    </w:p>
    <w:p w14:paraId="068690F6" w14:textId="77777777" w:rsidR="00B84BDA" w:rsidRDefault="00B84BDA" w:rsidP="00E46A75">
      <w:pPr>
        <w:spacing w:after="0" w:line="240" w:lineRule="auto"/>
        <w:jc w:val="both"/>
      </w:pPr>
    </w:p>
    <w:p w14:paraId="7373E3FD" w14:textId="77777777" w:rsidR="00C5671B" w:rsidRPr="00C5671B" w:rsidRDefault="0051400F" w:rsidP="00E46A75">
      <w:pPr>
        <w:pStyle w:val="ListParagraph"/>
        <w:numPr>
          <w:ilvl w:val="0"/>
          <w:numId w:val="2"/>
        </w:numPr>
        <w:spacing w:after="0" w:line="240" w:lineRule="auto"/>
        <w:contextualSpacing w:val="0"/>
        <w:jc w:val="both"/>
        <w:rPr>
          <w:b/>
        </w:rPr>
      </w:pPr>
      <w:r>
        <w:rPr>
          <w:b/>
        </w:rPr>
        <w:t>Permitted Exchanges</w:t>
      </w:r>
    </w:p>
    <w:p w14:paraId="3FFE4AB6" w14:textId="77777777" w:rsidR="0051400F" w:rsidRDefault="0051400F" w:rsidP="00E46A75">
      <w:pPr>
        <w:pStyle w:val="ListParagraph"/>
        <w:spacing w:after="0" w:line="240" w:lineRule="auto"/>
        <w:ind w:left="786"/>
        <w:contextualSpacing w:val="0"/>
        <w:jc w:val="both"/>
        <w:rPr>
          <w:b/>
        </w:rPr>
      </w:pPr>
    </w:p>
    <w:p w14:paraId="68E05DF2" w14:textId="77777777" w:rsidR="00B42ADE" w:rsidRDefault="009A5308" w:rsidP="00585BE6">
      <w:pPr>
        <w:spacing w:after="0" w:line="240" w:lineRule="auto"/>
        <w:jc w:val="both"/>
      </w:pPr>
      <w:r>
        <w:t xml:space="preserve">The CFB Funds invest entirely through collective </w:t>
      </w:r>
      <w:r w:rsidR="00136E8B">
        <w:t xml:space="preserve">investment schemes, so do not directly trade on exchanges. </w:t>
      </w:r>
      <w:r w:rsidR="00246333">
        <w:t>The bulk of these funds are managed by Epworth Investment Management</w:t>
      </w:r>
      <w:r w:rsidR="00951EBE">
        <w:t xml:space="preserve"> Ltd (Epworth</w:t>
      </w:r>
      <w:proofErr w:type="gramStart"/>
      <w:r w:rsidR="00951EBE">
        <w:t xml:space="preserve">) </w:t>
      </w:r>
      <w:r w:rsidR="00246333">
        <w:t>,</w:t>
      </w:r>
      <w:proofErr w:type="gramEnd"/>
      <w:r w:rsidR="00246333">
        <w:t xml:space="preserve"> </w:t>
      </w:r>
      <w:r w:rsidR="0087063E">
        <w:t>the CFB’s wholly owned subsidiary regulated by the FCA. Epworth’s p</w:t>
      </w:r>
      <w:r w:rsidR="007D44DA">
        <w:t xml:space="preserve">ermitted exchanges </w:t>
      </w:r>
      <w:r w:rsidR="0087063E">
        <w:t xml:space="preserve">are </w:t>
      </w:r>
      <w:r w:rsidR="00EF329F">
        <w:t>listed in the appendix of the</w:t>
      </w:r>
      <w:r w:rsidR="00585BE6">
        <w:t xml:space="preserve"> </w:t>
      </w:r>
      <w:r w:rsidR="009F0DB0">
        <w:t>Waystone (WS)</w:t>
      </w:r>
      <w:r w:rsidR="00EF329F" w:rsidRPr="00EF329F">
        <w:t xml:space="preserve"> Epworth Investment Funds for Charities Prospectus </w:t>
      </w:r>
      <w:r w:rsidR="00D958CE">
        <w:t>(</w:t>
      </w:r>
      <w:r w:rsidR="00EF329F">
        <w:t xml:space="preserve">available via </w:t>
      </w:r>
      <w:hyperlink r:id="rId14" w:history="1">
        <w:r w:rsidR="00D958CE" w:rsidRPr="00DC5ACB">
          <w:rPr>
            <w:rStyle w:val="Hyperlink"/>
          </w:rPr>
          <w:t>https://epworthim.com/</w:t>
        </w:r>
      </w:hyperlink>
      <w:r w:rsidR="00D958CE">
        <w:t xml:space="preserve"> .) </w:t>
      </w:r>
    </w:p>
    <w:p w14:paraId="13FD2F24" w14:textId="77777777" w:rsidR="00B42ADE" w:rsidRDefault="00B42ADE" w:rsidP="00585BE6">
      <w:pPr>
        <w:spacing w:after="0" w:line="240" w:lineRule="auto"/>
        <w:jc w:val="both"/>
      </w:pPr>
    </w:p>
    <w:p w14:paraId="6458B70B" w14:textId="35C9A64A" w:rsidR="00AA7B19" w:rsidRPr="007C4E76" w:rsidRDefault="003A360E" w:rsidP="007D7A92">
      <w:pPr>
        <w:pStyle w:val="ListParagraph"/>
        <w:numPr>
          <w:ilvl w:val="0"/>
          <w:numId w:val="2"/>
        </w:numPr>
        <w:spacing w:after="0" w:line="240" w:lineRule="auto"/>
        <w:jc w:val="both"/>
        <w:rPr>
          <w:b/>
        </w:rPr>
      </w:pPr>
      <w:r w:rsidRPr="007C4E76">
        <w:rPr>
          <w:b/>
        </w:rPr>
        <w:t>Investments in related Funds</w:t>
      </w:r>
    </w:p>
    <w:p w14:paraId="3A7303D4" w14:textId="77777777" w:rsidR="00AA7B19" w:rsidRPr="00981005" w:rsidRDefault="00AA7B19" w:rsidP="00E46A75">
      <w:pPr>
        <w:spacing w:after="0" w:line="240" w:lineRule="auto"/>
        <w:jc w:val="both"/>
        <w:rPr>
          <w:b/>
        </w:rPr>
      </w:pPr>
    </w:p>
    <w:p w14:paraId="6966A5E5" w14:textId="1B421D32" w:rsidR="00981005" w:rsidRDefault="00981005" w:rsidP="00E46A75">
      <w:pPr>
        <w:spacing w:after="0" w:line="240" w:lineRule="auto"/>
        <w:jc w:val="both"/>
      </w:pPr>
      <w:r w:rsidRPr="00981005">
        <w:t>Several of the CFB Funds invest wholly</w:t>
      </w:r>
      <w:r w:rsidR="00486137">
        <w:t xml:space="preserve"> or partially</w:t>
      </w:r>
      <w:r w:rsidRPr="00981005">
        <w:t xml:space="preserve"> into </w:t>
      </w:r>
      <w:r w:rsidR="00674630" w:rsidRPr="00E45D25">
        <w:rPr>
          <w:rFonts w:eastAsia="Times New Roman" w:cs="Times New Roman"/>
        </w:rPr>
        <w:t>the</w:t>
      </w:r>
      <w:r w:rsidR="00A759D5">
        <w:rPr>
          <w:rFonts w:eastAsia="Times New Roman" w:cs="Times New Roman"/>
        </w:rPr>
        <w:t xml:space="preserve"> </w:t>
      </w:r>
      <w:r w:rsidR="007D7A92">
        <w:rPr>
          <w:rFonts w:eastAsia="Times New Roman" w:cs="Times New Roman"/>
        </w:rPr>
        <w:t>WS</w:t>
      </w:r>
      <w:r w:rsidR="007D7A92" w:rsidRPr="00E45D25">
        <w:rPr>
          <w:rFonts w:eastAsia="Times New Roman" w:cs="Times New Roman"/>
        </w:rPr>
        <w:t xml:space="preserve"> </w:t>
      </w:r>
      <w:r w:rsidR="00674630" w:rsidRPr="00E45D25">
        <w:rPr>
          <w:rFonts w:eastAsia="Times New Roman" w:cs="Times New Roman"/>
        </w:rPr>
        <w:t>Epworth Investment Funds for Charities</w:t>
      </w:r>
      <w:r w:rsidR="00EA73CE">
        <w:rPr>
          <w:rFonts w:eastAsia="Times New Roman" w:cs="Times New Roman"/>
        </w:rPr>
        <w:t xml:space="preserve"> (The Fund)</w:t>
      </w:r>
      <w:r w:rsidR="00674630" w:rsidRPr="00E45D25">
        <w:rPr>
          <w:rFonts w:eastAsia="Times New Roman" w:cs="Times New Roman"/>
        </w:rPr>
        <w:t>. This is a Charity Authorised Investment Fund managed by Epworth Investment Management Limited, a wholly owned subsidiary of the CFB, authorised and regulated by the FCA.</w:t>
      </w:r>
      <w:r w:rsidR="00674630" w:rsidRPr="004B2E93">
        <w:t xml:space="preserve"> </w:t>
      </w:r>
      <w:r w:rsidR="00EA73CE">
        <w:t xml:space="preserve">The Fund will not invest in equities or bonds that are excluded by ethical screening based on Christian principles. </w:t>
      </w:r>
      <w:r w:rsidR="00674630" w:rsidRPr="004B2E93">
        <w:t>Further</w:t>
      </w:r>
      <w:r w:rsidR="00674630">
        <w:t xml:space="preserve"> information can be found at www.</w:t>
      </w:r>
      <w:r w:rsidR="0029013F">
        <w:t>epworthim.com</w:t>
      </w:r>
      <w:r w:rsidRPr="00981005">
        <w:t xml:space="preserve">. </w:t>
      </w:r>
      <w:r>
        <w:t xml:space="preserve">In these </w:t>
      </w:r>
      <w:r w:rsidR="00DD53A6">
        <w:t>cases,</w:t>
      </w:r>
      <w:r>
        <w:t xml:space="preserve"> the investment restriction detailed in section </w:t>
      </w:r>
      <w:r w:rsidR="00B84BDA">
        <w:t xml:space="preserve">6 </w:t>
      </w:r>
      <w:r w:rsidR="00EA73CE">
        <w:t xml:space="preserve">in relation to the maximum investment in approved collective investment schemes will </w:t>
      </w:r>
      <w:r w:rsidR="00B84BDA">
        <w:t xml:space="preserve">not apply. </w:t>
      </w:r>
      <w:r>
        <w:t>The Funds concerned</w:t>
      </w:r>
      <w:r w:rsidRPr="00981005">
        <w:t xml:space="preserve"> are:</w:t>
      </w:r>
    </w:p>
    <w:p w14:paraId="3B579D02" w14:textId="77777777" w:rsidR="0079100C" w:rsidRPr="00981005" w:rsidRDefault="0079100C" w:rsidP="00E46A75">
      <w:pPr>
        <w:spacing w:after="0" w:line="240" w:lineRule="auto"/>
        <w:jc w:val="both"/>
      </w:pPr>
    </w:p>
    <w:p w14:paraId="21F71FC7" w14:textId="77777777" w:rsidR="004F711B" w:rsidRPr="004F711B" w:rsidRDefault="004F711B" w:rsidP="00E46A75">
      <w:pPr>
        <w:tabs>
          <w:tab w:val="left" w:pos="567"/>
          <w:tab w:val="left" w:pos="1134"/>
        </w:tabs>
        <w:spacing w:after="0" w:line="240" w:lineRule="auto"/>
        <w:jc w:val="both"/>
        <w:rPr>
          <w:rFonts w:eastAsia="Times New Roman" w:cs="Times New Roman"/>
        </w:rPr>
      </w:pPr>
    </w:p>
    <w:p w14:paraId="0FB951AD" w14:textId="77777777" w:rsidR="001B3167" w:rsidRPr="00417D03" w:rsidRDefault="001B3167" w:rsidP="001B3167">
      <w:pPr>
        <w:spacing w:after="0" w:line="240" w:lineRule="auto"/>
        <w:jc w:val="both"/>
        <w:rPr>
          <w:b/>
          <w:bCs/>
          <w:i/>
        </w:rPr>
      </w:pPr>
      <w:r w:rsidRPr="00417D03">
        <w:rPr>
          <w:b/>
          <w:bCs/>
          <w:i/>
        </w:rPr>
        <w:lastRenderedPageBreak/>
        <w:t>CFB Deposit Fund</w:t>
      </w:r>
    </w:p>
    <w:p w14:paraId="021FE239" w14:textId="77777777" w:rsidR="001B3167" w:rsidRDefault="001B3167" w:rsidP="001B3167">
      <w:pPr>
        <w:tabs>
          <w:tab w:val="left" w:pos="567"/>
          <w:tab w:val="left" w:pos="1134"/>
        </w:tabs>
        <w:spacing w:after="0" w:line="240" w:lineRule="auto"/>
        <w:jc w:val="both"/>
        <w:rPr>
          <w:rFonts w:eastAsia="Times New Roman" w:cs="Times New Roman"/>
        </w:rPr>
      </w:pPr>
      <w:r w:rsidRPr="004F711B">
        <w:rPr>
          <w:rFonts w:eastAsia="Times New Roman" w:cs="Times New Roman"/>
        </w:rPr>
        <w:t xml:space="preserve">The Deposit Fund places deposits with </w:t>
      </w:r>
      <w:r>
        <w:rPr>
          <w:rFonts w:eastAsia="Times New Roman" w:cs="Times New Roman"/>
        </w:rPr>
        <w:t>t</w:t>
      </w:r>
      <w:r w:rsidRPr="004F711B">
        <w:rPr>
          <w:rFonts w:eastAsia="Times New Roman" w:cs="Times New Roman"/>
        </w:rPr>
        <w:t xml:space="preserve">he </w:t>
      </w:r>
      <w:r>
        <w:rPr>
          <w:rFonts w:eastAsia="Times New Roman" w:cs="Times New Roman"/>
        </w:rPr>
        <w:t xml:space="preserve">Epworth Cash Plus </w:t>
      </w:r>
      <w:r w:rsidRPr="004F711B">
        <w:rPr>
          <w:rFonts w:eastAsia="Times New Roman" w:cs="Times New Roman"/>
        </w:rPr>
        <w:t xml:space="preserve">Fund for Charities, a Charity Commission established Common Deposit Fund managed by </w:t>
      </w:r>
      <w:r>
        <w:rPr>
          <w:rFonts w:eastAsia="Times New Roman" w:cs="Times New Roman"/>
        </w:rPr>
        <w:t>Epworth or such other loans, bonds or deposits as the Council of the CFB may approve from time to time</w:t>
      </w:r>
    </w:p>
    <w:p w14:paraId="51ED3B62" w14:textId="77777777" w:rsidR="001B3167" w:rsidRDefault="001B3167" w:rsidP="001B3167">
      <w:pPr>
        <w:tabs>
          <w:tab w:val="left" w:pos="567"/>
          <w:tab w:val="left" w:pos="1134"/>
        </w:tabs>
        <w:spacing w:after="0" w:line="240" w:lineRule="auto"/>
        <w:jc w:val="both"/>
        <w:rPr>
          <w:rFonts w:eastAsia="Times New Roman" w:cs="Times New Roman"/>
        </w:rPr>
      </w:pPr>
    </w:p>
    <w:p w14:paraId="208AEA1D" w14:textId="04BFECD4" w:rsidR="00486137" w:rsidRPr="00417D03" w:rsidRDefault="009F3B53" w:rsidP="001B3167">
      <w:pPr>
        <w:tabs>
          <w:tab w:val="left" w:pos="567"/>
          <w:tab w:val="left" w:pos="1134"/>
        </w:tabs>
        <w:spacing w:after="0" w:line="240" w:lineRule="auto"/>
        <w:jc w:val="both"/>
        <w:rPr>
          <w:rFonts w:eastAsia="Times New Roman" w:cs="Times New Roman"/>
          <w:b/>
          <w:bCs/>
          <w:i/>
          <w:iCs/>
        </w:rPr>
      </w:pPr>
      <w:r w:rsidRPr="00417D03">
        <w:rPr>
          <w:rFonts w:eastAsia="Times New Roman" w:cs="Times New Roman"/>
          <w:b/>
          <w:bCs/>
          <w:i/>
          <w:iCs/>
        </w:rPr>
        <w:t xml:space="preserve">CFB </w:t>
      </w:r>
      <w:r w:rsidR="00E274BB" w:rsidRPr="00417D03">
        <w:rPr>
          <w:rFonts w:eastAsia="Times New Roman" w:cs="Times New Roman"/>
          <w:b/>
          <w:bCs/>
          <w:i/>
          <w:iCs/>
        </w:rPr>
        <w:t>Managed Equity Fund</w:t>
      </w:r>
    </w:p>
    <w:p w14:paraId="66C4E9FE" w14:textId="24F59132" w:rsidR="008C161E" w:rsidRDefault="00486137" w:rsidP="004B2E93">
      <w:pPr>
        <w:tabs>
          <w:tab w:val="left" w:pos="567"/>
          <w:tab w:val="left" w:pos="1134"/>
        </w:tabs>
        <w:spacing w:after="0" w:line="240" w:lineRule="auto"/>
        <w:jc w:val="both"/>
        <w:rPr>
          <w:rFonts w:eastAsia="Times New Roman" w:cs="Times New Roman"/>
        </w:rPr>
      </w:pPr>
      <w:r w:rsidRPr="000153B7">
        <w:rPr>
          <w:rFonts w:eastAsia="Times New Roman" w:cs="Times New Roman"/>
        </w:rPr>
        <w:t xml:space="preserve">The </w:t>
      </w:r>
      <w:r w:rsidR="009F5D86">
        <w:rPr>
          <w:rFonts w:eastAsia="Times New Roman" w:cs="Times New Roman"/>
        </w:rPr>
        <w:t>f</w:t>
      </w:r>
      <w:r w:rsidRPr="000153B7">
        <w:rPr>
          <w:rFonts w:eastAsia="Times New Roman" w:cs="Times New Roman"/>
        </w:rPr>
        <w:t>und invests</w:t>
      </w:r>
      <w:r w:rsidR="00BE1458">
        <w:rPr>
          <w:rFonts w:eastAsia="Times New Roman" w:cs="Times New Roman"/>
        </w:rPr>
        <w:t xml:space="preserve"> </w:t>
      </w:r>
      <w:r w:rsidR="00E87F35">
        <w:rPr>
          <w:rFonts w:eastAsia="Times New Roman" w:cs="Times New Roman"/>
        </w:rPr>
        <w:t xml:space="preserve">primarily in listed global equities including </w:t>
      </w:r>
      <w:r w:rsidR="000577AE">
        <w:rPr>
          <w:rFonts w:eastAsia="Times New Roman" w:cs="Times New Roman"/>
        </w:rPr>
        <w:t>UK stock via Epworth funds,</w:t>
      </w:r>
      <w:r w:rsidR="00E87F35">
        <w:rPr>
          <w:rFonts w:eastAsia="Times New Roman" w:cs="Times New Roman"/>
        </w:rPr>
        <w:t xml:space="preserve"> in addition to </w:t>
      </w:r>
      <w:r w:rsidR="000577AE">
        <w:rPr>
          <w:rFonts w:eastAsia="Times New Roman" w:cs="Times New Roman"/>
        </w:rPr>
        <w:t xml:space="preserve">small </w:t>
      </w:r>
      <w:r w:rsidR="00E87F35">
        <w:rPr>
          <w:rFonts w:eastAsia="Times New Roman" w:cs="Times New Roman"/>
        </w:rPr>
        <w:t xml:space="preserve">exposure to </w:t>
      </w:r>
      <w:r w:rsidR="009F5D86">
        <w:rPr>
          <w:rFonts w:eastAsia="Times New Roman" w:cs="Times New Roman"/>
        </w:rPr>
        <w:t>some unlisted private assets.</w:t>
      </w:r>
      <w:r w:rsidR="00E87F35">
        <w:rPr>
          <w:rFonts w:eastAsia="Times New Roman" w:cs="Times New Roman"/>
        </w:rPr>
        <w:t xml:space="preserve"> </w:t>
      </w:r>
      <w:r w:rsidR="008C161E">
        <w:rPr>
          <w:rFonts w:eastAsia="Times New Roman" w:cs="Times New Roman"/>
        </w:rPr>
        <w:t>The benchmark for the fund is a composite index comprising:</w:t>
      </w:r>
    </w:p>
    <w:p w14:paraId="10F74CAA" w14:textId="77777777" w:rsidR="008C161E" w:rsidRDefault="008C161E" w:rsidP="008C161E">
      <w:pPr>
        <w:pStyle w:val="ListParagraph"/>
        <w:numPr>
          <w:ilvl w:val="0"/>
          <w:numId w:val="29"/>
        </w:numPr>
        <w:tabs>
          <w:tab w:val="left" w:pos="567"/>
          <w:tab w:val="left" w:pos="1134"/>
        </w:tabs>
        <w:spacing w:after="0" w:line="240" w:lineRule="auto"/>
        <w:jc w:val="both"/>
        <w:rPr>
          <w:rFonts w:eastAsia="Times New Roman"/>
        </w:rPr>
      </w:pPr>
      <w:r>
        <w:rPr>
          <w:rFonts w:eastAsia="Times New Roman"/>
        </w:rPr>
        <w:t>75% FTSE All World Index</w:t>
      </w:r>
    </w:p>
    <w:p w14:paraId="15EF8C14" w14:textId="77777777" w:rsidR="008C161E" w:rsidRDefault="008C161E" w:rsidP="008C161E">
      <w:pPr>
        <w:pStyle w:val="ListParagraph"/>
        <w:numPr>
          <w:ilvl w:val="0"/>
          <w:numId w:val="29"/>
        </w:numPr>
        <w:tabs>
          <w:tab w:val="left" w:pos="567"/>
          <w:tab w:val="left" w:pos="1134"/>
        </w:tabs>
        <w:spacing w:after="0" w:line="240" w:lineRule="auto"/>
        <w:jc w:val="both"/>
        <w:rPr>
          <w:rFonts w:eastAsia="Times New Roman"/>
        </w:rPr>
      </w:pPr>
      <w:r>
        <w:rPr>
          <w:rFonts w:eastAsia="Times New Roman"/>
        </w:rPr>
        <w:t>25% FTSE All Share Index</w:t>
      </w:r>
    </w:p>
    <w:p w14:paraId="3B05EAB2" w14:textId="77777777" w:rsidR="00360930" w:rsidRPr="00417D03" w:rsidRDefault="00360930" w:rsidP="004B2E93">
      <w:pPr>
        <w:tabs>
          <w:tab w:val="left" w:pos="567"/>
          <w:tab w:val="left" w:pos="1134"/>
        </w:tabs>
        <w:spacing w:after="0" w:line="240" w:lineRule="auto"/>
        <w:jc w:val="both"/>
        <w:rPr>
          <w:rFonts w:eastAsia="Times New Roman" w:cs="Times New Roman"/>
          <w:b/>
          <w:bCs/>
        </w:rPr>
      </w:pPr>
    </w:p>
    <w:p w14:paraId="1F84A533" w14:textId="584C8E89" w:rsidR="00E274BB" w:rsidRPr="00417D03" w:rsidRDefault="009F3B53" w:rsidP="004B2E93">
      <w:pPr>
        <w:tabs>
          <w:tab w:val="left" w:pos="567"/>
          <w:tab w:val="left" w:pos="1134"/>
        </w:tabs>
        <w:spacing w:after="0" w:line="240" w:lineRule="auto"/>
        <w:jc w:val="both"/>
        <w:rPr>
          <w:rFonts w:eastAsia="Times New Roman" w:cs="Times New Roman"/>
          <w:b/>
          <w:bCs/>
          <w:i/>
          <w:iCs/>
        </w:rPr>
      </w:pPr>
      <w:r w:rsidRPr="00417D03">
        <w:rPr>
          <w:rFonts w:eastAsia="Times New Roman" w:cs="Times New Roman"/>
          <w:b/>
          <w:bCs/>
          <w:i/>
          <w:iCs/>
        </w:rPr>
        <w:t xml:space="preserve">CFB </w:t>
      </w:r>
      <w:r w:rsidR="00E274BB" w:rsidRPr="00417D03">
        <w:rPr>
          <w:rFonts w:eastAsia="Times New Roman" w:cs="Times New Roman"/>
          <w:b/>
          <w:bCs/>
          <w:i/>
          <w:iCs/>
        </w:rPr>
        <w:t>Managed Mixed Fund</w:t>
      </w:r>
    </w:p>
    <w:p w14:paraId="25766D72" w14:textId="6089D710" w:rsidR="00E274BB" w:rsidRDefault="00E274BB" w:rsidP="004B2E93">
      <w:pPr>
        <w:tabs>
          <w:tab w:val="left" w:pos="567"/>
          <w:tab w:val="left" w:pos="1134"/>
        </w:tabs>
        <w:spacing w:after="0" w:line="240" w:lineRule="auto"/>
        <w:jc w:val="both"/>
        <w:rPr>
          <w:rFonts w:eastAsia="Times New Roman" w:cs="Times New Roman"/>
        </w:rPr>
      </w:pPr>
      <w:r>
        <w:rPr>
          <w:rFonts w:eastAsia="Times New Roman" w:cs="Times New Roman"/>
        </w:rPr>
        <w:t xml:space="preserve">The Managed Mixed Fund invests </w:t>
      </w:r>
      <w:r w:rsidR="009F5D86">
        <w:rPr>
          <w:rFonts w:eastAsia="Times New Roman" w:cs="Times New Roman"/>
        </w:rPr>
        <w:t xml:space="preserve">wholly </w:t>
      </w:r>
      <w:r>
        <w:rPr>
          <w:rFonts w:eastAsia="Times New Roman" w:cs="Times New Roman"/>
        </w:rPr>
        <w:t>in the WS</w:t>
      </w:r>
      <w:r w:rsidR="009F5D86">
        <w:rPr>
          <w:rFonts w:eastAsia="Times New Roman" w:cs="Times New Roman"/>
        </w:rPr>
        <w:t xml:space="preserve"> Epworth</w:t>
      </w:r>
      <w:r>
        <w:rPr>
          <w:rFonts w:eastAsia="Times New Roman" w:cs="Times New Roman"/>
        </w:rPr>
        <w:t xml:space="preserve"> Multi Asset Fund for Charities</w:t>
      </w:r>
    </w:p>
    <w:p w14:paraId="67CFE3AD" w14:textId="77777777" w:rsidR="002C37A6" w:rsidRDefault="002C37A6" w:rsidP="004B2E93">
      <w:pPr>
        <w:tabs>
          <w:tab w:val="left" w:pos="567"/>
          <w:tab w:val="left" w:pos="1134"/>
        </w:tabs>
        <w:spacing w:after="0" w:line="240" w:lineRule="auto"/>
        <w:jc w:val="both"/>
        <w:rPr>
          <w:rFonts w:eastAsia="Times New Roman" w:cs="Times New Roman"/>
        </w:rPr>
      </w:pPr>
    </w:p>
    <w:p w14:paraId="4FF3AE55" w14:textId="77777777" w:rsidR="002C37A6" w:rsidRPr="00417D03" w:rsidRDefault="002C37A6" w:rsidP="002C37A6">
      <w:pPr>
        <w:tabs>
          <w:tab w:val="left" w:pos="567"/>
          <w:tab w:val="left" w:pos="1134"/>
        </w:tabs>
        <w:spacing w:after="0" w:line="240" w:lineRule="auto"/>
        <w:jc w:val="both"/>
        <w:rPr>
          <w:b/>
          <w:bCs/>
          <w:i/>
          <w:iCs/>
        </w:rPr>
      </w:pPr>
      <w:r w:rsidRPr="00417D03">
        <w:rPr>
          <w:b/>
          <w:bCs/>
          <w:i/>
          <w:iCs/>
        </w:rPr>
        <w:t>CFB Managed Fixed Interest Fund</w:t>
      </w:r>
    </w:p>
    <w:p w14:paraId="07B94FD9" w14:textId="5273CD51" w:rsidR="002C37A6" w:rsidRDefault="002C37A6" w:rsidP="002C37A6">
      <w:pPr>
        <w:tabs>
          <w:tab w:val="left" w:pos="567"/>
          <w:tab w:val="left" w:pos="1134"/>
        </w:tabs>
        <w:spacing w:after="0" w:line="240" w:lineRule="auto"/>
        <w:jc w:val="both"/>
        <w:rPr>
          <w:rFonts w:eastAsia="Times New Roman" w:cs="Times New Roman"/>
        </w:rPr>
      </w:pPr>
      <w:r>
        <w:t>The Managed Fixed Interest Fund invests in third party collective investment schemes providing exposure to fixed income securities primarily listed in the UK. Fund selection is overseen by the CFB’s investment team</w:t>
      </w:r>
    </w:p>
    <w:p w14:paraId="05C8F88E" w14:textId="77777777" w:rsidR="00E274BB" w:rsidRDefault="00E274BB" w:rsidP="004B2E93">
      <w:pPr>
        <w:tabs>
          <w:tab w:val="left" w:pos="567"/>
          <w:tab w:val="left" w:pos="1134"/>
        </w:tabs>
        <w:spacing w:after="0" w:line="240" w:lineRule="auto"/>
        <w:jc w:val="both"/>
        <w:rPr>
          <w:rFonts w:eastAsia="Times New Roman" w:cs="Times New Roman"/>
        </w:rPr>
      </w:pPr>
    </w:p>
    <w:p w14:paraId="2D66B1E5" w14:textId="39A2D2B6" w:rsidR="00486137" w:rsidRPr="00417D03" w:rsidRDefault="00524FF6" w:rsidP="00E46A75">
      <w:pPr>
        <w:tabs>
          <w:tab w:val="left" w:pos="567"/>
          <w:tab w:val="left" w:pos="1134"/>
        </w:tabs>
        <w:spacing w:after="0" w:line="240" w:lineRule="auto"/>
        <w:jc w:val="both"/>
        <w:rPr>
          <w:b/>
          <w:bCs/>
          <w:i/>
          <w:iCs/>
        </w:rPr>
      </w:pPr>
      <w:r w:rsidRPr="00417D03">
        <w:rPr>
          <w:b/>
          <w:bCs/>
          <w:i/>
          <w:iCs/>
        </w:rPr>
        <w:t>Connexional Council</w:t>
      </w:r>
      <w:r w:rsidR="00E274BB" w:rsidRPr="00417D03">
        <w:rPr>
          <w:b/>
          <w:bCs/>
          <w:i/>
          <w:iCs/>
        </w:rPr>
        <w:t xml:space="preserve"> Medium Term</w:t>
      </w:r>
      <w:r w:rsidR="002C37A6">
        <w:rPr>
          <w:b/>
          <w:bCs/>
          <w:i/>
          <w:iCs/>
        </w:rPr>
        <w:t xml:space="preserve"> </w:t>
      </w:r>
      <w:r w:rsidR="0079100C">
        <w:rPr>
          <w:b/>
          <w:bCs/>
          <w:i/>
          <w:iCs/>
        </w:rPr>
        <w:t xml:space="preserve">Fund </w:t>
      </w:r>
      <w:r w:rsidR="0079100C" w:rsidRPr="00417D03">
        <w:rPr>
          <w:b/>
          <w:bCs/>
          <w:i/>
          <w:iCs/>
        </w:rPr>
        <w:t>and</w:t>
      </w:r>
      <w:r w:rsidR="00E274BB" w:rsidRPr="00417D03">
        <w:rPr>
          <w:b/>
          <w:bCs/>
          <w:i/>
          <w:iCs/>
        </w:rPr>
        <w:t xml:space="preserve"> </w:t>
      </w:r>
      <w:r w:rsidR="56DF5359" w:rsidRPr="00417D03">
        <w:rPr>
          <w:b/>
          <w:bCs/>
          <w:i/>
          <w:iCs/>
        </w:rPr>
        <w:t>Connexional</w:t>
      </w:r>
      <w:r w:rsidR="00E274BB" w:rsidRPr="00417D03">
        <w:rPr>
          <w:b/>
          <w:bCs/>
          <w:i/>
          <w:iCs/>
        </w:rPr>
        <w:t xml:space="preserve"> Council Long Term</w:t>
      </w:r>
      <w:r w:rsidR="00C21C50" w:rsidRPr="00417D03">
        <w:rPr>
          <w:b/>
          <w:bCs/>
          <w:i/>
          <w:iCs/>
        </w:rPr>
        <w:t xml:space="preserve"> Fund</w:t>
      </w:r>
    </w:p>
    <w:p w14:paraId="6021E6CB" w14:textId="13D312BD" w:rsidR="00634484" w:rsidRDefault="00E274BB" w:rsidP="00E46A75">
      <w:pPr>
        <w:tabs>
          <w:tab w:val="left" w:pos="567"/>
          <w:tab w:val="left" w:pos="1134"/>
        </w:tabs>
        <w:spacing w:after="0" w:line="240" w:lineRule="auto"/>
        <w:jc w:val="both"/>
        <w:rPr>
          <w:rFonts w:eastAsia="Times New Roman" w:cs="Times New Roman"/>
        </w:rPr>
      </w:pPr>
      <w:r>
        <w:t xml:space="preserve">Both funds </w:t>
      </w:r>
      <w:r w:rsidR="00D16398">
        <w:t xml:space="preserve">are multi-asset funds investing according to their asset parameters (see appendix 1).  </w:t>
      </w:r>
      <w:r w:rsidR="00360930">
        <w:t xml:space="preserve"> </w:t>
      </w:r>
    </w:p>
    <w:p w14:paraId="05816542" w14:textId="77777777" w:rsidR="00015844" w:rsidRPr="00C5671B" w:rsidRDefault="00015844" w:rsidP="000153B7">
      <w:pPr>
        <w:tabs>
          <w:tab w:val="left" w:pos="567"/>
          <w:tab w:val="left" w:pos="1134"/>
        </w:tabs>
        <w:spacing w:after="0" w:line="240" w:lineRule="auto"/>
        <w:jc w:val="both"/>
        <w:rPr>
          <w:b/>
        </w:rPr>
      </w:pPr>
    </w:p>
    <w:p w14:paraId="501642D5" w14:textId="77777777" w:rsidR="00670FFD" w:rsidRDefault="00670FFD" w:rsidP="00E46A75">
      <w:pPr>
        <w:pStyle w:val="ListParagraph"/>
        <w:numPr>
          <w:ilvl w:val="0"/>
          <w:numId w:val="2"/>
        </w:numPr>
        <w:spacing w:after="0" w:line="240" w:lineRule="auto"/>
        <w:contextualSpacing w:val="0"/>
        <w:jc w:val="both"/>
        <w:rPr>
          <w:b/>
        </w:rPr>
      </w:pPr>
      <w:r w:rsidRPr="00FA6EF2">
        <w:rPr>
          <w:b/>
        </w:rPr>
        <w:t>Procedures for Investment &amp; Redemption</w:t>
      </w:r>
    </w:p>
    <w:p w14:paraId="010EC584" w14:textId="77777777" w:rsidR="00CA5F54" w:rsidRDefault="00CA5F54" w:rsidP="00E46A75">
      <w:pPr>
        <w:pStyle w:val="ListParagraph"/>
        <w:spacing w:after="0" w:line="240" w:lineRule="auto"/>
        <w:ind w:left="786"/>
        <w:contextualSpacing w:val="0"/>
        <w:jc w:val="both"/>
        <w:rPr>
          <w:b/>
        </w:rPr>
      </w:pPr>
    </w:p>
    <w:p w14:paraId="18FE6044" w14:textId="77777777" w:rsidR="00DA2952" w:rsidRPr="00524FF6" w:rsidRDefault="00DA2952" w:rsidP="00E46A75">
      <w:pPr>
        <w:spacing w:after="0" w:line="240" w:lineRule="auto"/>
        <w:jc w:val="both"/>
        <w:rPr>
          <w:rFonts w:eastAsia="Times New Roman" w:cs="Times New Roman"/>
          <w:b/>
          <w:bCs/>
          <w:i/>
          <w:iCs/>
          <w:lang w:eastAsia="en-GB"/>
        </w:rPr>
      </w:pPr>
      <w:r w:rsidRPr="00524FF6">
        <w:rPr>
          <w:rFonts w:eastAsia="Times New Roman" w:cs="Times New Roman"/>
          <w:b/>
          <w:bCs/>
          <w:i/>
          <w:iCs/>
          <w:lang w:eastAsia="en-GB"/>
        </w:rPr>
        <w:t>CFB Deposit Fund</w:t>
      </w:r>
    </w:p>
    <w:p w14:paraId="7C1AF23D" w14:textId="05B07A34" w:rsidR="00DA2952" w:rsidRDefault="00DA2952" w:rsidP="00E46A75">
      <w:pPr>
        <w:spacing w:after="0" w:line="240" w:lineRule="auto"/>
        <w:jc w:val="both"/>
        <w:rPr>
          <w:rFonts w:eastAsia="Times New Roman" w:cs="Times New Roman"/>
          <w:lang w:eastAsia="en-GB"/>
        </w:rPr>
      </w:pPr>
      <w:r w:rsidRPr="6FD3DBE0">
        <w:rPr>
          <w:rFonts w:eastAsia="Times New Roman" w:cs="Times New Roman"/>
          <w:lang w:eastAsia="en-GB"/>
        </w:rPr>
        <w:t xml:space="preserve">Instructions must be received by 10:00am for same day value. </w:t>
      </w:r>
      <w:r w:rsidR="00043438" w:rsidRPr="6FD3DBE0">
        <w:rPr>
          <w:rFonts w:eastAsia="Times New Roman" w:cs="Times New Roman"/>
          <w:lang w:eastAsia="en-GB"/>
        </w:rPr>
        <w:t>These</w:t>
      </w:r>
      <w:r w:rsidR="0046123C" w:rsidRPr="6FD3DBE0">
        <w:rPr>
          <w:rFonts w:eastAsia="Times New Roman" w:cs="Times New Roman"/>
          <w:lang w:eastAsia="en-GB"/>
        </w:rPr>
        <w:t xml:space="preserve"> should be either submitted via the online portal or by signed instruction via email or post to JTC. </w:t>
      </w:r>
      <w:r w:rsidRPr="6FD3DBE0">
        <w:rPr>
          <w:rFonts w:eastAsia="Times New Roman" w:cs="Times New Roman"/>
          <w:lang w:eastAsia="en-GB"/>
        </w:rPr>
        <w:t>Deposits will only be applied</w:t>
      </w:r>
      <w:r w:rsidR="0046123C" w:rsidRPr="6FD3DBE0">
        <w:rPr>
          <w:rFonts w:eastAsia="Times New Roman" w:cs="Times New Roman"/>
          <w:lang w:eastAsia="en-GB"/>
        </w:rPr>
        <w:t xml:space="preserve"> </w:t>
      </w:r>
      <w:r w:rsidR="0002557B">
        <w:rPr>
          <w:rFonts w:eastAsia="Times New Roman" w:cs="Times New Roman"/>
          <w:lang w:eastAsia="en-GB"/>
        </w:rPr>
        <w:t xml:space="preserve">for same day value </w:t>
      </w:r>
      <w:r w:rsidR="0046123C" w:rsidRPr="6FD3DBE0">
        <w:rPr>
          <w:rFonts w:eastAsia="Times New Roman" w:cs="Times New Roman"/>
          <w:lang w:eastAsia="en-GB"/>
        </w:rPr>
        <w:t xml:space="preserve">when cleared funds </w:t>
      </w:r>
      <w:r w:rsidR="0046696A">
        <w:rPr>
          <w:rFonts w:eastAsia="Times New Roman" w:cs="Times New Roman"/>
          <w:lang w:eastAsia="en-GB"/>
        </w:rPr>
        <w:t>are</w:t>
      </w:r>
      <w:r w:rsidR="0046123C" w:rsidRPr="6FD3DBE0">
        <w:rPr>
          <w:rFonts w:eastAsia="Times New Roman" w:cs="Times New Roman"/>
          <w:lang w:eastAsia="en-GB"/>
        </w:rPr>
        <w:t xml:space="preserve"> received into the CFB Deposit Fund bank account</w:t>
      </w:r>
      <w:r w:rsidR="0046696A">
        <w:rPr>
          <w:rFonts w:eastAsia="Times New Roman" w:cs="Times New Roman"/>
          <w:lang w:eastAsia="en-GB"/>
        </w:rPr>
        <w:t xml:space="preserve"> before 10:00AM on that same day</w:t>
      </w:r>
      <w:proofErr w:type="gramStart"/>
      <w:r w:rsidR="0046696A">
        <w:rPr>
          <w:rFonts w:eastAsia="Times New Roman" w:cs="Times New Roman"/>
          <w:lang w:eastAsia="en-GB"/>
        </w:rPr>
        <w:t xml:space="preserve">. </w:t>
      </w:r>
      <w:r w:rsidR="0046123C" w:rsidRPr="6FD3DBE0">
        <w:rPr>
          <w:rFonts w:eastAsia="Times New Roman" w:cs="Times New Roman"/>
          <w:lang w:eastAsia="en-GB"/>
        </w:rPr>
        <w:t>.</w:t>
      </w:r>
      <w:proofErr w:type="gramEnd"/>
      <w:r w:rsidRPr="6FD3DBE0">
        <w:rPr>
          <w:rFonts w:eastAsia="Times New Roman" w:cs="Times New Roman"/>
          <w:lang w:eastAsia="en-GB"/>
        </w:rPr>
        <w:t xml:space="preserve"> </w:t>
      </w:r>
    </w:p>
    <w:p w14:paraId="6E99DCDB" w14:textId="77777777" w:rsidR="00DA2952" w:rsidRDefault="00DA2952" w:rsidP="00E46A75">
      <w:pPr>
        <w:spacing w:after="0" w:line="240" w:lineRule="auto"/>
        <w:jc w:val="both"/>
        <w:rPr>
          <w:rFonts w:eastAsia="Times New Roman" w:cs="Times New Roman"/>
          <w:lang w:eastAsia="en-GB"/>
        </w:rPr>
      </w:pPr>
    </w:p>
    <w:p w14:paraId="5C427AE7" w14:textId="77777777" w:rsidR="00DA2952" w:rsidRPr="00524FF6" w:rsidRDefault="00DA2952" w:rsidP="00E46A75">
      <w:pPr>
        <w:spacing w:after="0" w:line="240" w:lineRule="auto"/>
        <w:jc w:val="both"/>
        <w:rPr>
          <w:rFonts w:eastAsia="Times New Roman" w:cs="Times New Roman"/>
          <w:b/>
          <w:bCs/>
          <w:i/>
          <w:iCs/>
          <w:lang w:eastAsia="en-GB"/>
        </w:rPr>
      </w:pPr>
      <w:r w:rsidRPr="00524FF6">
        <w:rPr>
          <w:rFonts w:eastAsia="Times New Roman" w:cs="Times New Roman"/>
          <w:b/>
          <w:bCs/>
          <w:i/>
          <w:iCs/>
          <w:lang w:eastAsia="en-GB"/>
        </w:rPr>
        <w:t>CFB Managed Funds</w:t>
      </w:r>
    </w:p>
    <w:p w14:paraId="2EBC0E27" w14:textId="4AB6FD69" w:rsidR="003372A9" w:rsidRPr="002900A9" w:rsidRDefault="00DA2952" w:rsidP="00E46A75">
      <w:pPr>
        <w:spacing w:after="0" w:line="240" w:lineRule="auto"/>
        <w:jc w:val="both"/>
        <w:rPr>
          <w:rFonts w:eastAsia="Times New Roman" w:cs="Times New Roman"/>
          <w:lang w:eastAsia="en-GB"/>
        </w:rPr>
      </w:pPr>
      <w:r w:rsidRPr="6FD3DBE0">
        <w:rPr>
          <w:rFonts w:eastAsia="Times New Roman" w:cs="Times New Roman"/>
          <w:lang w:eastAsia="en-GB"/>
        </w:rPr>
        <w:t>I</w:t>
      </w:r>
      <w:r w:rsidR="009357FC" w:rsidRPr="6FD3DBE0">
        <w:rPr>
          <w:rFonts w:eastAsia="Times New Roman" w:cs="Times New Roman"/>
          <w:lang w:eastAsia="en-GB"/>
        </w:rPr>
        <w:t xml:space="preserve">nstructions for creations and redemptions must be received by the </w:t>
      </w:r>
      <w:r w:rsidR="0046123C" w:rsidRPr="6FD3DBE0">
        <w:rPr>
          <w:rFonts w:eastAsia="Times New Roman" w:cs="Times New Roman"/>
          <w:lang w:eastAsia="en-GB"/>
        </w:rPr>
        <w:t>CFB</w:t>
      </w:r>
      <w:r w:rsidR="009357FC" w:rsidRPr="6FD3DBE0">
        <w:rPr>
          <w:rFonts w:eastAsia="Times New Roman" w:cs="Times New Roman"/>
          <w:lang w:eastAsia="en-GB"/>
        </w:rPr>
        <w:t xml:space="preserve"> before </w:t>
      </w:r>
      <w:r w:rsidR="0029013F" w:rsidRPr="6FD3DBE0">
        <w:rPr>
          <w:rFonts w:eastAsia="Times New Roman" w:cs="Times New Roman"/>
          <w:lang w:eastAsia="en-GB"/>
        </w:rPr>
        <w:t>midday</w:t>
      </w:r>
      <w:r w:rsidR="009357FC" w:rsidRPr="6FD3DBE0">
        <w:rPr>
          <w:rFonts w:eastAsia="Times New Roman" w:cs="Times New Roman"/>
          <w:lang w:eastAsia="en-GB"/>
        </w:rPr>
        <w:t xml:space="preserve"> one </w:t>
      </w:r>
      <w:r w:rsidR="00932DDC" w:rsidRPr="6FD3DBE0">
        <w:rPr>
          <w:rFonts w:eastAsia="Times New Roman" w:cs="Times New Roman"/>
          <w:lang w:eastAsia="en-GB"/>
        </w:rPr>
        <w:t xml:space="preserve">business </w:t>
      </w:r>
      <w:r w:rsidR="009357FC" w:rsidRPr="6FD3DBE0">
        <w:rPr>
          <w:rFonts w:eastAsia="Times New Roman" w:cs="Times New Roman"/>
          <w:lang w:eastAsia="en-GB"/>
        </w:rPr>
        <w:t xml:space="preserve">day prior to a dealing day. </w:t>
      </w:r>
      <w:r w:rsidR="00974FED" w:rsidRPr="6FD3DBE0">
        <w:rPr>
          <w:rFonts w:eastAsia="Times New Roman" w:cs="Times New Roman"/>
          <w:lang w:eastAsia="en-GB"/>
        </w:rPr>
        <w:t>The dates of dealing days are set out in section 19 below.</w:t>
      </w:r>
    </w:p>
    <w:p w14:paraId="5DCDDA99" w14:textId="77777777" w:rsidR="003372A9" w:rsidRDefault="003372A9" w:rsidP="00E46A75">
      <w:pPr>
        <w:spacing w:after="0" w:line="240" w:lineRule="auto"/>
        <w:jc w:val="both"/>
        <w:rPr>
          <w:rFonts w:eastAsia="Times New Roman" w:cs="Times New Roman"/>
          <w:lang w:eastAsia="en-GB"/>
        </w:rPr>
      </w:pPr>
    </w:p>
    <w:p w14:paraId="3D47FE24" w14:textId="657CE31B" w:rsidR="00434E5D" w:rsidRDefault="009E5F75" w:rsidP="00E46A75">
      <w:pPr>
        <w:spacing w:after="0" w:line="240" w:lineRule="auto"/>
        <w:jc w:val="both"/>
        <w:rPr>
          <w:rFonts w:eastAsia="Times New Roman" w:cs="Times New Roman"/>
          <w:lang w:eastAsia="en-GB"/>
        </w:rPr>
      </w:pPr>
      <w:r>
        <w:rPr>
          <w:rFonts w:eastAsia="Times New Roman" w:cs="Times New Roman"/>
          <w:lang w:eastAsia="en-GB"/>
        </w:rPr>
        <w:t>Inve</w:t>
      </w:r>
      <w:r w:rsidR="00434E5D">
        <w:rPr>
          <w:rFonts w:eastAsia="Times New Roman" w:cs="Times New Roman"/>
          <w:lang w:eastAsia="en-GB"/>
        </w:rPr>
        <w:t>stors using the T</w:t>
      </w:r>
      <w:r>
        <w:rPr>
          <w:rFonts w:eastAsia="Times New Roman" w:cs="Times New Roman"/>
          <w:lang w:eastAsia="en-GB"/>
        </w:rPr>
        <w:t xml:space="preserve">rustees for Methodist </w:t>
      </w:r>
      <w:r w:rsidR="00434E5D">
        <w:rPr>
          <w:rFonts w:eastAsia="Times New Roman" w:cs="Times New Roman"/>
          <w:lang w:eastAsia="en-GB"/>
        </w:rPr>
        <w:t>Church</w:t>
      </w:r>
      <w:r>
        <w:rPr>
          <w:rFonts w:eastAsia="Times New Roman" w:cs="Times New Roman"/>
          <w:lang w:eastAsia="en-GB"/>
        </w:rPr>
        <w:t xml:space="preserve"> Purposes (TMCP) should ensure that any dealing </w:t>
      </w:r>
      <w:r w:rsidR="00434E5D">
        <w:rPr>
          <w:rFonts w:eastAsia="Times New Roman" w:cs="Times New Roman"/>
          <w:lang w:eastAsia="en-GB"/>
        </w:rPr>
        <w:t>instructions</w:t>
      </w:r>
      <w:r>
        <w:rPr>
          <w:rFonts w:eastAsia="Times New Roman" w:cs="Times New Roman"/>
          <w:lang w:eastAsia="en-GB"/>
        </w:rPr>
        <w:t xml:space="preserve"> are with </w:t>
      </w:r>
      <w:r w:rsidR="00434E5D">
        <w:rPr>
          <w:rFonts w:eastAsia="Times New Roman" w:cs="Times New Roman"/>
          <w:lang w:eastAsia="en-GB"/>
        </w:rPr>
        <w:t xml:space="preserve">TMCP </w:t>
      </w:r>
      <w:r>
        <w:rPr>
          <w:rFonts w:eastAsia="Times New Roman" w:cs="Times New Roman"/>
          <w:lang w:eastAsia="en-GB"/>
        </w:rPr>
        <w:t xml:space="preserve">in the </w:t>
      </w:r>
      <w:r w:rsidR="00434E5D">
        <w:rPr>
          <w:rFonts w:eastAsia="Times New Roman" w:cs="Times New Roman"/>
          <w:lang w:eastAsia="en-GB"/>
        </w:rPr>
        <w:t>prescribed</w:t>
      </w:r>
      <w:r>
        <w:rPr>
          <w:rFonts w:eastAsia="Times New Roman" w:cs="Times New Roman"/>
          <w:lang w:eastAsia="en-GB"/>
        </w:rPr>
        <w:t xml:space="preserve"> form in </w:t>
      </w:r>
      <w:r w:rsidR="00434E5D">
        <w:rPr>
          <w:rFonts w:eastAsia="Times New Roman" w:cs="Times New Roman"/>
          <w:lang w:eastAsia="en-GB"/>
        </w:rPr>
        <w:t>good</w:t>
      </w:r>
      <w:r>
        <w:rPr>
          <w:rFonts w:eastAsia="Times New Roman" w:cs="Times New Roman"/>
          <w:lang w:eastAsia="en-GB"/>
        </w:rPr>
        <w:t xml:space="preserve"> time for TMCP to submit the orders to the CFB before the above cut-off times. </w:t>
      </w:r>
      <w:r w:rsidR="0046123C">
        <w:rPr>
          <w:rFonts w:eastAsia="Times New Roman" w:cs="Times New Roman"/>
          <w:lang w:eastAsia="en-GB"/>
        </w:rPr>
        <w:t xml:space="preserve">All other investors should submit redemption and withdrawal requests directly to the Head of Discretionary Services at the CFB. </w:t>
      </w:r>
      <w:r w:rsidR="00043438">
        <w:rPr>
          <w:rFonts w:eastAsia="Times New Roman" w:cs="Times New Roman"/>
          <w:lang w:eastAsia="en-GB"/>
        </w:rPr>
        <w:t>Redemption requests should be submitted by signed instruction either via email or by post to the CFB.</w:t>
      </w:r>
    </w:p>
    <w:p w14:paraId="0DED8DC3" w14:textId="77777777" w:rsidR="00434E5D" w:rsidRDefault="00434E5D" w:rsidP="00E46A75">
      <w:pPr>
        <w:spacing w:after="0" w:line="240" w:lineRule="auto"/>
        <w:jc w:val="both"/>
        <w:rPr>
          <w:rFonts w:eastAsia="Times New Roman" w:cs="Times New Roman"/>
          <w:lang w:eastAsia="en-GB"/>
        </w:rPr>
      </w:pPr>
    </w:p>
    <w:p w14:paraId="6D642DC8" w14:textId="595EDC9D" w:rsidR="004471AB" w:rsidRPr="003372A9" w:rsidRDefault="0058715F" w:rsidP="00E46A75">
      <w:pPr>
        <w:spacing w:after="0" w:line="240" w:lineRule="auto"/>
        <w:jc w:val="both"/>
        <w:rPr>
          <w:rFonts w:eastAsia="Times New Roman" w:cs="Times New Roman"/>
          <w:lang w:eastAsia="en-GB"/>
        </w:rPr>
      </w:pPr>
      <w:r w:rsidRPr="00242851">
        <w:rPr>
          <w:rFonts w:cstheme="minorHAnsi"/>
        </w:rPr>
        <w:t xml:space="preserve"> </w:t>
      </w:r>
      <w:r w:rsidRPr="007C4E76">
        <w:rPr>
          <w:rStyle w:val="cf01"/>
          <w:rFonts w:asciiTheme="minorHAnsi" w:hAnsiTheme="minorHAnsi" w:cstheme="minorHAnsi"/>
          <w:sz w:val="22"/>
          <w:szCs w:val="22"/>
        </w:rPr>
        <w:t xml:space="preserve">New CFB Deposit Fund accounts can be opened by completing the application form that is available  </w:t>
      </w:r>
      <w:r w:rsidR="00434E5D" w:rsidRPr="00242851">
        <w:rPr>
          <w:rFonts w:eastAsia="Times New Roman" w:cstheme="minorHAnsi"/>
          <w:lang w:eastAsia="en-GB"/>
        </w:rPr>
        <w:t xml:space="preserve"> on </w:t>
      </w:r>
      <w:hyperlink r:id="rId15">
        <w:r w:rsidR="00FA22A4" w:rsidRPr="00242851">
          <w:rPr>
            <w:rStyle w:val="Hyperlink"/>
            <w:rFonts w:eastAsia="Times New Roman" w:cstheme="minorHAnsi"/>
            <w:lang w:eastAsia="en-GB"/>
          </w:rPr>
          <w:t>www.cfbmethodistchurch.org.uk/depositfund</w:t>
        </w:r>
      </w:hyperlink>
      <w:r w:rsidR="00FA22A4" w:rsidRPr="00242851">
        <w:rPr>
          <w:rFonts w:eastAsia="Times New Roman" w:cstheme="minorHAnsi"/>
          <w:lang w:eastAsia="en-GB"/>
        </w:rPr>
        <w:t>. The application form should be counter-signed by a</w:t>
      </w:r>
      <w:r w:rsidR="00FA22A4" w:rsidRPr="6FD3DBE0">
        <w:rPr>
          <w:rFonts w:eastAsia="Times New Roman" w:cs="Times New Roman"/>
          <w:lang w:eastAsia="en-GB"/>
        </w:rPr>
        <w:t xml:space="preserve"> Methodist minister or, in the case of an eligible charity, by an authorised Trustee</w:t>
      </w:r>
      <w:r w:rsidR="00EF2EF8" w:rsidRPr="6FD3DBE0">
        <w:rPr>
          <w:rFonts w:eastAsia="Times New Roman" w:cs="Times New Roman"/>
          <w:lang w:eastAsia="en-GB"/>
        </w:rPr>
        <w:t>.</w:t>
      </w:r>
    </w:p>
    <w:p w14:paraId="373D377C" w14:textId="77777777" w:rsidR="009357FC" w:rsidRDefault="009357FC" w:rsidP="00E46A75">
      <w:pPr>
        <w:spacing w:after="0" w:line="240" w:lineRule="auto"/>
        <w:jc w:val="both"/>
        <w:rPr>
          <w:rFonts w:ascii="Arial" w:eastAsia="Times New Roman" w:hAnsi="Arial" w:cs="Times New Roman"/>
          <w:sz w:val="20"/>
          <w:szCs w:val="20"/>
          <w:lang w:eastAsia="en-GB"/>
        </w:rPr>
      </w:pPr>
    </w:p>
    <w:p w14:paraId="38BE84F7" w14:textId="77777777" w:rsidR="004471AB" w:rsidRPr="003372A9" w:rsidRDefault="004471AB" w:rsidP="00E46A75">
      <w:pPr>
        <w:spacing w:after="0" w:line="240" w:lineRule="auto"/>
        <w:jc w:val="both"/>
        <w:rPr>
          <w:rFonts w:eastAsia="Times New Roman" w:cs="Times New Roman"/>
          <w:lang w:eastAsia="en-GB"/>
        </w:rPr>
      </w:pPr>
    </w:p>
    <w:p w14:paraId="7FFFD769" w14:textId="77777777" w:rsidR="004471AB" w:rsidRPr="003372A9" w:rsidRDefault="002900A9" w:rsidP="00E46A75">
      <w:pPr>
        <w:spacing w:after="0" w:line="240" w:lineRule="auto"/>
        <w:jc w:val="both"/>
        <w:rPr>
          <w:rFonts w:eastAsia="Times New Roman" w:cs="Times New Roman"/>
          <w:lang w:eastAsia="en-GB"/>
        </w:rPr>
      </w:pPr>
      <w:r>
        <w:rPr>
          <w:rFonts w:eastAsia="Times New Roman" w:cs="Times New Roman"/>
          <w:lang w:eastAsia="en-GB"/>
        </w:rPr>
        <w:t>There is no</w:t>
      </w:r>
      <w:r w:rsidR="004471AB" w:rsidRPr="003372A9">
        <w:rPr>
          <w:rFonts w:eastAsia="Times New Roman" w:cs="Times New Roman"/>
          <w:lang w:eastAsia="en-GB"/>
        </w:rPr>
        <w:t xml:space="preserve"> minimum investment amou</w:t>
      </w:r>
      <w:r w:rsidR="000E766C">
        <w:rPr>
          <w:rFonts w:eastAsia="Times New Roman" w:cs="Times New Roman"/>
          <w:lang w:eastAsia="en-GB"/>
        </w:rPr>
        <w:t xml:space="preserve">nt </w:t>
      </w:r>
      <w:r w:rsidR="00FA22A4">
        <w:rPr>
          <w:rFonts w:eastAsia="Times New Roman" w:cs="Times New Roman"/>
          <w:lang w:eastAsia="en-GB"/>
        </w:rPr>
        <w:t>in CFB</w:t>
      </w:r>
      <w:r w:rsidR="000E766C">
        <w:rPr>
          <w:rFonts w:eastAsia="Times New Roman" w:cs="Times New Roman"/>
          <w:lang w:eastAsia="en-GB"/>
        </w:rPr>
        <w:t xml:space="preserve"> Funds and no</w:t>
      </w:r>
      <w:r w:rsidR="00FA22A4">
        <w:rPr>
          <w:rFonts w:eastAsia="Times New Roman" w:cs="Times New Roman"/>
          <w:lang w:eastAsia="en-GB"/>
        </w:rPr>
        <w:t xml:space="preserve"> minimum holding amount.</w:t>
      </w:r>
    </w:p>
    <w:p w14:paraId="14F7D5A0" w14:textId="77777777" w:rsidR="009357FC" w:rsidRPr="003372A9" w:rsidRDefault="009357FC" w:rsidP="00E46A75">
      <w:pPr>
        <w:spacing w:after="0" w:line="240" w:lineRule="auto"/>
        <w:jc w:val="both"/>
        <w:rPr>
          <w:rFonts w:eastAsia="Times New Roman" w:cs="Times New Roman"/>
          <w:lang w:eastAsia="en-GB"/>
        </w:rPr>
      </w:pPr>
    </w:p>
    <w:p w14:paraId="02CB25FC" w14:textId="77777777" w:rsidR="009B4A79" w:rsidRDefault="00CA5F54" w:rsidP="00E46A75">
      <w:pPr>
        <w:spacing w:after="0" w:line="240" w:lineRule="auto"/>
        <w:jc w:val="both"/>
      </w:pPr>
      <w:r w:rsidRPr="003372A9">
        <w:t>Confirmation of the allocation or redemption of units will be sent to t</w:t>
      </w:r>
      <w:r w:rsidR="000E766C">
        <w:t xml:space="preserve">he investing </w:t>
      </w:r>
      <w:r w:rsidR="00675376">
        <w:t xml:space="preserve">entity </w:t>
      </w:r>
      <w:r w:rsidR="000E766C">
        <w:t xml:space="preserve">within two </w:t>
      </w:r>
      <w:r w:rsidRPr="003372A9">
        <w:t xml:space="preserve">working </w:t>
      </w:r>
      <w:r w:rsidR="00FA22A4" w:rsidRPr="003372A9">
        <w:t>days</w:t>
      </w:r>
      <w:r w:rsidRPr="003372A9">
        <w:t xml:space="preserve"> after the dealing day.</w:t>
      </w:r>
    </w:p>
    <w:p w14:paraId="467CD344" w14:textId="77777777" w:rsidR="00F050FB" w:rsidRDefault="00F050FB" w:rsidP="00E46A75">
      <w:pPr>
        <w:spacing w:after="0" w:line="240" w:lineRule="auto"/>
        <w:jc w:val="both"/>
      </w:pPr>
    </w:p>
    <w:p w14:paraId="3DC1C3AD" w14:textId="77777777" w:rsidR="00F050FB" w:rsidRPr="00F050FB" w:rsidRDefault="00F050FB" w:rsidP="6FD3DBE0">
      <w:pPr>
        <w:spacing w:after="0" w:line="240" w:lineRule="auto"/>
        <w:jc w:val="both"/>
        <w:rPr>
          <w:rFonts w:eastAsia="Times New Roman" w:cs="Times New Roman"/>
          <w:lang w:eastAsia="en-GB"/>
        </w:rPr>
      </w:pPr>
      <w:r w:rsidRPr="6FD3DBE0">
        <w:rPr>
          <w:rFonts w:eastAsia="Times New Roman" w:cs="Times New Roman"/>
          <w:lang w:eastAsia="en-GB"/>
        </w:rPr>
        <w:lastRenderedPageBreak/>
        <w:t xml:space="preserve">Units are uncertificated and therefore no certificates are issued. All units in issue at present are ‘income’ units.  </w:t>
      </w:r>
    </w:p>
    <w:p w14:paraId="4D7CAAE0" w14:textId="77777777" w:rsidR="00670FFD" w:rsidRPr="009357FC" w:rsidRDefault="00670FFD" w:rsidP="00E46A75">
      <w:pPr>
        <w:spacing w:after="0" w:line="240" w:lineRule="auto"/>
        <w:jc w:val="both"/>
        <w:rPr>
          <w:b/>
        </w:rPr>
      </w:pPr>
    </w:p>
    <w:p w14:paraId="42B423D9" w14:textId="77777777" w:rsidR="00E73D68" w:rsidRDefault="00E73D68" w:rsidP="00E46A75">
      <w:pPr>
        <w:pStyle w:val="ListParagraph"/>
        <w:numPr>
          <w:ilvl w:val="0"/>
          <w:numId w:val="2"/>
        </w:numPr>
        <w:spacing w:after="0" w:line="240" w:lineRule="auto"/>
        <w:contextualSpacing w:val="0"/>
        <w:jc w:val="both"/>
        <w:rPr>
          <w:b/>
        </w:rPr>
      </w:pPr>
      <w:r>
        <w:rPr>
          <w:b/>
        </w:rPr>
        <w:t>In Specie transfers</w:t>
      </w:r>
    </w:p>
    <w:p w14:paraId="13D018D2" w14:textId="77777777" w:rsidR="00BD5E7C" w:rsidRDefault="00BD5E7C" w:rsidP="00E46A75">
      <w:pPr>
        <w:pStyle w:val="ListParagraph"/>
        <w:spacing w:after="0" w:line="240" w:lineRule="auto"/>
        <w:ind w:left="786"/>
        <w:contextualSpacing w:val="0"/>
        <w:jc w:val="both"/>
        <w:rPr>
          <w:b/>
        </w:rPr>
      </w:pPr>
    </w:p>
    <w:p w14:paraId="3154F3BA" w14:textId="77777777" w:rsidR="00E73D68" w:rsidRPr="00C00B02" w:rsidRDefault="00E73D68" w:rsidP="00E46A75">
      <w:pPr>
        <w:spacing w:after="0" w:line="240" w:lineRule="auto"/>
        <w:jc w:val="both"/>
      </w:pPr>
      <w:r w:rsidRPr="00C00B02">
        <w:t>At the discretion of the CFB</w:t>
      </w:r>
      <w:r w:rsidR="00BD5E7C" w:rsidRPr="00C00B02">
        <w:t>,</w:t>
      </w:r>
      <w:r w:rsidRPr="00C00B02">
        <w:t xml:space="preserve"> investments into the Funds may be made by the transfer of </w:t>
      </w:r>
      <w:r w:rsidR="009357FC">
        <w:t xml:space="preserve">quoted </w:t>
      </w:r>
      <w:r w:rsidRPr="00C00B02">
        <w:t xml:space="preserve">market securities rather than cash. Where accepted, such securities will be valued at the mid-market price at the valuation point of the relevant Fund. </w:t>
      </w:r>
      <w:r w:rsidR="00BD5E7C" w:rsidRPr="00C00B02">
        <w:t xml:space="preserve">The normal </w:t>
      </w:r>
      <w:r w:rsidR="00C00B02">
        <w:t>dealing surcharges (see Appendix 2</w:t>
      </w:r>
      <w:r w:rsidR="00BD5E7C" w:rsidRPr="00C00B02">
        <w:t xml:space="preserve">) </w:t>
      </w:r>
      <w:r w:rsidR="009357FC">
        <w:t>may be waived at the discretion of the CFB</w:t>
      </w:r>
      <w:r w:rsidR="00BD5E7C" w:rsidRPr="00C00B02">
        <w:t xml:space="preserve">. The CFB will only accept in specie transfers where they do not breach the ethical exclusions of the CFB and meet the investment objectives and parameters of the relevant Fund. The CFB further reserves the right to reject an </w:t>
      </w:r>
      <w:proofErr w:type="gramStart"/>
      <w:r w:rsidR="00BD5E7C" w:rsidRPr="00C00B02">
        <w:t>in specie</w:t>
      </w:r>
      <w:proofErr w:type="gramEnd"/>
      <w:r w:rsidR="00BD5E7C" w:rsidRPr="00C00B02">
        <w:t xml:space="preserve"> transfer on investment grounds.</w:t>
      </w:r>
    </w:p>
    <w:p w14:paraId="2316EC55" w14:textId="77777777" w:rsidR="00BD5E7C" w:rsidRPr="00C00B02" w:rsidRDefault="00BD5E7C" w:rsidP="00E46A75">
      <w:pPr>
        <w:spacing w:after="0" w:line="240" w:lineRule="auto"/>
        <w:jc w:val="both"/>
      </w:pPr>
    </w:p>
    <w:p w14:paraId="4175307A" w14:textId="77777777" w:rsidR="00741035" w:rsidRDefault="00BD5E7C" w:rsidP="00A11A4F">
      <w:pPr>
        <w:spacing w:line="240" w:lineRule="auto"/>
        <w:jc w:val="both"/>
        <w:rPr>
          <w:rFonts w:ascii="Calibri" w:eastAsia="Calibri" w:hAnsi="Calibri" w:cs="Times New Roman"/>
          <w:b/>
        </w:rPr>
      </w:pPr>
      <w:r w:rsidRPr="00BF6FAB">
        <w:t>Where there is a substantial redemption of more than 10%</w:t>
      </w:r>
      <w:r w:rsidR="00C00B02" w:rsidRPr="00BF6FAB">
        <w:t xml:space="preserve"> </w:t>
      </w:r>
      <w:r w:rsidRPr="00BF6FAB">
        <w:t xml:space="preserve">in a Fund the CFB reserves the right to transfer securities from the Fund to the </w:t>
      </w:r>
      <w:r w:rsidR="00C00B02" w:rsidRPr="00BF6FAB">
        <w:t xml:space="preserve">investor rather than make </w:t>
      </w:r>
      <w:r w:rsidR="009357FC" w:rsidRPr="00BF6FAB">
        <w:t>cash</w:t>
      </w:r>
      <w:r w:rsidR="00C00B02" w:rsidRPr="00BF6FAB">
        <w:t xml:space="preserve"> payment. The securities will be valued at mid-market price at the valuation point of the relevant Fund. </w:t>
      </w:r>
      <w:r w:rsidR="00932DD3" w:rsidRPr="00BF6FAB">
        <w:t xml:space="preserve">The CFB will select assets for the </w:t>
      </w:r>
      <w:proofErr w:type="gramStart"/>
      <w:r w:rsidR="00932DD3" w:rsidRPr="00BF6FAB">
        <w:t>in specie</w:t>
      </w:r>
      <w:proofErr w:type="gramEnd"/>
      <w:r w:rsidR="00932DD3" w:rsidRPr="00BF6FAB">
        <w:t xml:space="preserve"> transfer </w:t>
      </w:r>
      <w:proofErr w:type="gramStart"/>
      <w:r w:rsidR="00932DD3" w:rsidRPr="00BF6FAB">
        <w:t>so as to</w:t>
      </w:r>
      <w:proofErr w:type="gramEnd"/>
      <w:r w:rsidR="00932DD3" w:rsidRPr="00BF6FAB">
        <w:t xml:space="preserve"> ensure that there is no advantage or disadvantage for the unitholder over the continuing unitholders. </w:t>
      </w:r>
      <w:r w:rsidR="00C00B02" w:rsidRPr="00BF6FAB">
        <w:t>Where</w:t>
      </w:r>
      <w:r w:rsidR="00C00B02" w:rsidRPr="00C00B02">
        <w:t xml:space="preserve"> an investor is considering making a substantial redemption in a </w:t>
      </w:r>
      <w:proofErr w:type="gramStart"/>
      <w:r w:rsidR="00C00B02" w:rsidRPr="00C00B02">
        <w:t>Fund</w:t>
      </w:r>
      <w:proofErr w:type="gramEnd"/>
      <w:r w:rsidR="00C00B02" w:rsidRPr="00C00B02">
        <w:t xml:space="preserve"> we encourage early communication with the CFB so that any required sales within the Fund can be managed </w:t>
      </w:r>
      <w:proofErr w:type="gramStart"/>
      <w:r w:rsidR="00C00B02" w:rsidRPr="00C00B02">
        <w:t>so as to</w:t>
      </w:r>
      <w:proofErr w:type="gramEnd"/>
      <w:r w:rsidR="00C00B02" w:rsidRPr="00C00B02">
        <w:t xml:space="preserve"> not to penalise the remaining </w:t>
      </w:r>
      <w:proofErr w:type="gramStart"/>
      <w:r w:rsidR="00C00B02" w:rsidRPr="00C00B02">
        <w:t>unit-holders</w:t>
      </w:r>
      <w:proofErr w:type="gramEnd"/>
      <w:r w:rsidR="00C00B02" w:rsidRPr="00C00B02">
        <w:t xml:space="preserve">. If an </w:t>
      </w:r>
      <w:proofErr w:type="gramStart"/>
      <w:r w:rsidR="00C00B02" w:rsidRPr="00C00B02">
        <w:t>in specie</w:t>
      </w:r>
      <w:proofErr w:type="gramEnd"/>
      <w:r w:rsidR="00C00B02" w:rsidRPr="00C00B02">
        <w:t xml:space="preserve"> transfer is likely to be </w:t>
      </w:r>
      <w:proofErr w:type="gramStart"/>
      <w:r w:rsidR="00C00B02" w:rsidRPr="00C00B02">
        <w:t>necessary</w:t>
      </w:r>
      <w:proofErr w:type="gramEnd"/>
      <w:r w:rsidR="00C00B02" w:rsidRPr="00C00B02">
        <w:t xml:space="preserve"> </w:t>
      </w:r>
      <w:r w:rsidR="003372A9">
        <w:t xml:space="preserve">this will also </w:t>
      </w:r>
      <w:r w:rsidR="00C00B02" w:rsidRPr="00C00B02">
        <w:t xml:space="preserve">ensure that appropriate custody accounts and instructions have been established. </w:t>
      </w:r>
    </w:p>
    <w:p w14:paraId="47D1899E" w14:textId="77777777" w:rsidR="002F512B" w:rsidRDefault="006C6FEE" w:rsidP="00E46A75">
      <w:pPr>
        <w:pStyle w:val="ListParagraph"/>
        <w:numPr>
          <w:ilvl w:val="0"/>
          <w:numId w:val="2"/>
        </w:numPr>
        <w:spacing w:after="0" w:line="240" w:lineRule="auto"/>
        <w:contextualSpacing w:val="0"/>
        <w:jc w:val="both"/>
        <w:rPr>
          <w:b/>
        </w:rPr>
      </w:pPr>
      <w:r>
        <w:rPr>
          <w:b/>
        </w:rPr>
        <w:t>Recog</w:t>
      </w:r>
      <w:r w:rsidR="00A815DB">
        <w:rPr>
          <w:b/>
        </w:rPr>
        <w:t>nition of I</w:t>
      </w:r>
      <w:r w:rsidR="002F512B">
        <w:rPr>
          <w:b/>
        </w:rPr>
        <w:t xml:space="preserve">ncome </w:t>
      </w:r>
    </w:p>
    <w:p w14:paraId="4C994F4F" w14:textId="77777777" w:rsidR="002F512B" w:rsidRPr="002F512B" w:rsidRDefault="002F512B" w:rsidP="00E46A75">
      <w:pPr>
        <w:spacing w:after="0" w:line="240" w:lineRule="auto"/>
        <w:jc w:val="both"/>
        <w:rPr>
          <w:b/>
        </w:rPr>
      </w:pPr>
    </w:p>
    <w:p w14:paraId="0987B914" w14:textId="72613CF7" w:rsidR="00445DD6" w:rsidRDefault="00445DD6" w:rsidP="007C4E76">
      <w:pPr>
        <w:tabs>
          <w:tab w:val="left" w:pos="567"/>
          <w:tab w:val="left" w:pos="1134"/>
        </w:tabs>
        <w:spacing w:after="0" w:line="240" w:lineRule="auto"/>
        <w:jc w:val="both"/>
        <w:rPr>
          <w:rFonts w:eastAsia="Times New Roman" w:cs="Times New Roman"/>
        </w:rPr>
      </w:pPr>
      <w:r>
        <w:rPr>
          <w:rFonts w:eastAsia="Times New Roman" w:cs="Times New Roman"/>
        </w:rPr>
        <w:t>In all CFB Funds, distributions receivable on Collective Investment Schemes are recognised when the scheme goes ex dividend.</w:t>
      </w:r>
    </w:p>
    <w:p w14:paraId="36D330B6" w14:textId="77777777" w:rsidR="00445DD6" w:rsidRDefault="00445DD6" w:rsidP="007C4E76">
      <w:pPr>
        <w:tabs>
          <w:tab w:val="left" w:pos="567"/>
          <w:tab w:val="left" w:pos="1134"/>
        </w:tabs>
        <w:spacing w:after="0" w:line="240" w:lineRule="auto"/>
        <w:jc w:val="both"/>
        <w:rPr>
          <w:rFonts w:eastAsia="Times New Roman" w:cs="Times New Roman"/>
        </w:rPr>
      </w:pPr>
    </w:p>
    <w:p w14:paraId="30846C88" w14:textId="02147859" w:rsidR="002B6EE5" w:rsidRDefault="002F512B" w:rsidP="007C4E76">
      <w:pPr>
        <w:tabs>
          <w:tab w:val="left" w:pos="567"/>
          <w:tab w:val="left" w:pos="1134"/>
        </w:tabs>
        <w:spacing w:after="0" w:line="240" w:lineRule="auto"/>
        <w:jc w:val="both"/>
        <w:rPr>
          <w:rFonts w:eastAsia="Times New Roman" w:cs="Times New Roman"/>
        </w:rPr>
      </w:pPr>
      <w:r w:rsidRPr="006C6FEE">
        <w:rPr>
          <w:rFonts w:eastAsia="Times New Roman" w:cs="Times New Roman"/>
        </w:rPr>
        <w:t xml:space="preserve">In the Equity Funds, </w:t>
      </w:r>
      <w:r w:rsidR="00445DD6">
        <w:rPr>
          <w:rFonts w:eastAsia="Times New Roman" w:cs="Times New Roman"/>
        </w:rPr>
        <w:t xml:space="preserve">where direct investments are held, </w:t>
      </w:r>
      <w:r w:rsidRPr="006C6FEE">
        <w:rPr>
          <w:rFonts w:eastAsia="Times New Roman" w:cs="Times New Roman"/>
        </w:rPr>
        <w:t xml:space="preserve">dividends and distributions on other investments are credited to income when the securities are quoted ex-dividend.  </w:t>
      </w:r>
    </w:p>
    <w:p w14:paraId="63446749" w14:textId="77777777" w:rsidR="000862EC" w:rsidRPr="006C6FEE" w:rsidRDefault="000862EC" w:rsidP="00E46A75">
      <w:pPr>
        <w:tabs>
          <w:tab w:val="left" w:pos="567"/>
          <w:tab w:val="left" w:pos="1134"/>
        </w:tabs>
        <w:spacing w:after="0"/>
        <w:jc w:val="both"/>
        <w:rPr>
          <w:rFonts w:eastAsia="Times New Roman" w:cs="Times New Roman"/>
        </w:rPr>
      </w:pPr>
    </w:p>
    <w:p w14:paraId="450A95A1" w14:textId="334E31D5" w:rsidR="000862EC" w:rsidRPr="000862EC" w:rsidRDefault="002B6EE5" w:rsidP="00E46A75">
      <w:pPr>
        <w:tabs>
          <w:tab w:val="left" w:pos="567"/>
          <w:tab w:val="left" w:pos="1134"/>
        </w:tabs>
        <w:spacing w:after="80"/>
        <w:jc w:val="both"/>
        <w:rPr>
          <w:rFonts w:ascii="Calibri" w:eastAsia="Times New Roman" w:hAnsi="Calibri" w:cs="Times New Roman"/>
        </w:rPr>
      </w:pPr>
      <w:r w:rsidRPr="002B6EE5">
        <w:rPr>
          <w:rFonts w:ascii="Calibri" w:eastAsia="Times New Roman" w:hAnsi="Calibri" w:cs="Times New Roman"/>
          <w:lang w:eastAsia="en-GB"/>
        </w:rPr>
        <w:t xml:space="preserve">The price used for creations/redemptions </w:t>
      </w:r>
      <w:r w:rsidR="00445DD6">
        <w:rPr>
          <w:rFonts w:ascii="Calibri" w:eastAsia="Times New Roman" w:hAnsi="Calibri" w:cs="Times New Roman"/>
          <w:lang w:eastAsia="en-GB"/>
        </w:rPr>
        <w:t xml:space="preserve">will </w:t>
      </w:r>
      <w:r w:rsidRPr="002B6EE5">
        <w:rPr>
          <w:rFonts w:ascii="Calibri" w:eastAsia="Times New Roman" w:hAnsi="Calibri" w:cs="Times New Roman"/>
          <w:lang w:eastAsia="en-GB"/>
        </w:rPr>
        <w:t>include</w:t>
      </w:r>
      <w:r w:rsidR="00445DD6">
        <w:rPr>
          <w:rFonts w:ascii="Calibri" w:eastAsia="Times New Roman" w:hAnsi="Calibri" w:cs="Times New Roman"/>
          <w:lang w:eastAsia="en-GB"/>
        </w:rPr>
        <w:t xml:space="preserve"> any</w:t>
      </w:r>
      <w:r w:rsidRPr="002B6EE5">
        <w:rPr>
          <w:rFonts w:ascii="Calibri" w:eastAsia="Times New Roman" w:hAnsi="Calibri" w:cs="Times New Roman"/>
          <w:lang w:eastAsia="en-GB"/>
        </w:rPr>
        <w:t xml:space="preserve"> accrued interest.</w:t>
      </w:r>
    </w:p>
    <w:p w14:paraId="421B0CA4" w14:textId="77777777" w:rsidR="002F512B" w:rsidRDefault="007D3A59" w:rsidP="00E46A75">
      <w:pPr>
        <w:pStyle w:val="ListParagraph"/>
        <w:numPr>
          <w:ilvl w:val="0"/>
          <w:numId w:val="2"/>
        </w:numPr>
        <w:spacing w:after="0" w:line="240" w:lineRule="auto"/>
        <w:contextualSpacing w:val="0"/>
        <w:jc w:val="both"/>
        <w:rPr>
          <w:b/>
        </w:rPr>
      </w:pPr>
      <w:r w:rsidRPr="00FA6EF2">
        <w:rPr>
          <w:b/>
        </w:rPr>
        <w:t>Di</w:t>
      </w:r>
      <w:r w:rsidR="000862EC">
        <w:rPr>
          <w:b/>
        </w:rPr>
        <w:t>s</w:t>
      </w:r>
      <w:r w:rsidRPr="00FA6EF2">
        <w:rPr>
          <w:b/>
        </w:rPr>
        <w:t>tribution policy</w:t>
      </w:r>
    </w:p>
    <w:p w14:paraId="22C0D08A" w14:textId="77777777" w:rsidR="002F512B" w:rsidRPr="002F512B" w:rsidRDefault="002F512B" w:rsidP="00E46A75">
      <w:pPr>
        <w:pStyle w:val="ListParagraph"/>
        <w:spacing w:after="0" w:line="240" w:lineRule="auto"/>
        <w:ind w:left="786"/>
        <w:contextualSpacing w:val="0"/>
        <w:jc w:val="both"/>
        <w:rPr>
          <w:b/>
        </w:rPr>
      </w:pPr>
    </w:p>
    <w:p w14:paraId="5A0CF341" w14:textId="2FF8AD29" w:rsidR="002F512B" w:rsidRPr="004505C2" w:rsidRDefault="1A3C2478" w:rsidP="00E46A75">
      <w:pPr>
        <w:spacing w:after="0" w:line="240" w:lineRule="auto"/>
        <w:jc w:val="both"/>
      </w:pPr>
      <w:r w:rsidRPr="6FD3DBE0">
        <w:rPr>
          <w:rFonts w:eastAsia="Times New Roman" w:cs="Times New Roman"/>
        </w:rPr>
        <w:t>Apart from the CFB Deposit a</w:t>
      </w:r>
      <w:r w:rsidR="002F512B" w:rsidRPr="6FD3DBE0">
        <w:rPr>
          <w:rFonts w:eastAsia="Times New Roman" w:cs="Times New Roman"/>
        </w:rPr>
        <w:t xml:space="preserve">ll </w:t>
      </w:r>
      <w:r w:rsidR="009B4A79" w:rsidRPr="6FD3DBE0">
        <w:rPr>
          <w:rFonts w:eastAsia="Times New Roman" w:cs="Times New Roman"/>
        </w:rPr>
        <w:t xml:space="preserve">net </w:t>
      </w:r>
      <w:r w:rsidR="002F512B" w:rsidRPr="6FD3DBE0">
        <w:rPr>
          <w:rFonts w:eastAsia="Times New Roman" w:cs="Times New Roman"/>
        </w:rPr>
        <w:t>income of the Funds</w:t>
      </w:r>
      <w:r w:rsidR="005A29A2" w:rsidRPr="6FD3DBE0">
        <w:rPr>
          <w:rFonts w:eastAsia="Times New Roman" w:cs="Times New Roman"/>
        </w:rPr>
        <w:t xml:space="preserve"> </w:t>
      </w:r>
      <w:r w:rsidR="002F512B" w:rsidRPr="6FD3DBE0">
        <w:rPr>
          <w:rFonts w:eastAsia="Times New Roman" w:cs="Times New Roman"/>
        </w:rPr>
        <w:t>is distributed to unit holders</w:t>
      </w:r>
      <w:r w:rsidR="00BA024A">
        <w:rPr>
          <w:rFonts w:eastAsia="Times New Roman" w:cs="Times New Roman"/>
        </w:rPr>
        <w:t xml:space="preserve">. </w:t>
      </w:r>
      <w:r w:rsidR="004505C2">
        <w:t>There is no distribution reserve; all distributions are made to two decimal places.</w:t>
      </w:r>
    </w:p>
    <w:p w14:paraId="37630415" w14:textId="13B43CF6" w:rsidR="6FD3DBE0" w:rsidRDefault="6FD3DBE0" w:rsidP="00BA024A">
      <w:pPr>
        <w:spacing w:after="0" w:line="240" w:lineRule="auto"/>
        <w:jc w:val="both"/>
      </w:pPr>
    </w:p>
    <w:p w14:paraId="119920E6" w14:textId="70F01CD3" w:rsidR="47FBC952" w:rsidRDefault="47FBC952" w:rsidP="00BA024A">
      <w:pPr>
        <w:spacing w:after="0" w:line="240" w:lineRule="auto"/>
        <w:jc w:val="both"/>
      </w:pPr>
      <w:r>
        <w:t>The CFB Deposit Fund does operate an interest reserve account.</w:t>
      </w:r>
    </w:p>
    <w:p w14:paraId="3DDCFC80" w14:textId="77777777" w:rsidR="004505C2" w:rsidRDefault="004505C2" w:rsidP="00BA024A">
      <w:pPr>
        <w:spacing w:after="0" w:line="240" w:lineRule="auto"/>
        <w:jc w:val="both"/>
      </w:pPr>
    </w:p>
    <w:p w14:paraId="61CF85F3" w14:textId="77777777" w:rsidR="004505C2" w:rsidRPr="004505C2" w:rsidRDefault="004505C2" w:rsidP="00BA024A">
      <w:pPr>
        <w:spacing w:after="0" w:line="240" w:lineRule="auto"/>
        <w:jc w:val="both"/>
      </w:pPr>
      <w:r w:rsidRPr="004505C2">
        <w:t>Our Custodian will reclaim foreign with-holding tax on overseas dividends where applicable.</w:t>
      </w:r>
    </w:p>
    <w:p w14:paraId="7152B81B" w14:textId="77777777" w:rsidR="002F512B" w:rsidRDefault="002F512B" w:rsidP="00BA024A">
      <w:pPr>
        <w:tabs>
          <w:tab w:val="left" w:pos="567"/>
          <w:tab w:val="left" w:pos="1134"/>
        </w:tabs>
        <w:spacing w:after="0" w:line="240" w:lineRule="auto"/>
        <w:jc w:val="both"/>
        <w:rPr>
          <w:rFonts w:eastAsia="Times New Roman" w:cs="Times New Roman"/>
        </w:rPr>
      </w:pPr>
    </w:p>
    <w:p w14:paraId="0D6DD52E" w14:textId="77777777" w:rsidR="00854228" w:rsidRPr="00854228" w:rsidRDefault="002F512B" w:rsidP="00BA024A">
      <w:pPr>
        <w:spacing w:after="100" w:afterAutospacing="1" w:line="240" w:lineRule="auto"/>
        <w:jc w:val="both"/>
        <w:rPr>
          <w:rFonts w:ascii="Calibri" w:eastAsia="Times New Roman" w:hAnsi="Calibri" w:cs="Times New Roman"/>
          <w:lang w:eastAsia="en-GB"/>
        </w:rPr>
      </w:pPr>
      <w:r w:rsidRPr="002F512B">
        <w:rPr>
          <w:rFonts w:ascii="Calibri" w:eastAsia="Times New Roman" w:hAnsi="Calibri" w:cs="Times New Roman"/>
          <w:lang w:eastAsia="en-GB"/>
        </w:rPr>
        <w:t xml:space="preserve">Distributions on the funds are declared quarterly </w:t>
      </w:r>
      <w:r w:rsidRPr="00854228">
        <w:rPr>
          <w:rFonts w:ascii="Calibri" w:eastAsia="Times New Roman" w:hAnsi="Calibri" w:cs="Times New Roman"/>
          <w:lang w:eastAsia="en-GB"/>
        </w:rPr>
        <w:t xml:space="preserve">on </w:t>
      </w:r>
      <w:r w:rsidR="000E766C" w:rsidRPr="00854228">
        <w:rPr>
          <w:rFonts w:ascii="Calibri" w:eastAsia="Times New Roman" w:hAnsi="Calibri" w:cs="Times New Roman"/>
          <w:lang w:eastAsia="en-GB"/>
        </w:rPr>
        <w:t>28 February</w:t>
      </w:r>
      <w:r w:rsidRPr="00854228">
        <w:rPr>
          <w:rFonts w:ascii="Calibri" w:eastAsia="Times New Roman" w:hAnsi="Calibri" w:cs="Times New Roman"/>
          <w:lang w:eastAsia="en-GB"/>
        </w:rPr>
        <w:t>,</w:t>
      </w:r>
      <w:r w:rsidR="00854228" w:rsidRPr="00854228">
        <w:rPr>
          <w:rFonts w:ascii="Calibri" w:eastAsia="Times New Roman" w:hAnsi="Calibri" w:cs="Times New Roman"/>
          <w:lang w:eastAsia="en-GB"/>
        </w:rPr>
        <w:t xml:space="preserve"> 31 May, 31 August and 30 November. They are</w:t>
      </w:r>
      <w:r w:rsidRPr="00854228">
        <w:rPr>
          <w:rFonts w:ascii="Calibri" w:eastAsia="Times New Roman" w:hAnsi="Calibri" w:cs="Times New Roman"/>
          <w:lang w:eastAsia="en-GB"/>
        </w:rPr>
        <w:t xml:space="preserve"> payable on </w:t>
      </w:r>
      <w:r w:rsidR="000E766C" w:rsidRPr="00854228">
        <w:rPr>
          <w:rFonts w:ascii="Calibri" w:eastAsia="Times New Roman" w:hAnsi="Calibri" w:cs="Times New Roman"/>
          <w:lang w:eastAsia="en-GB"/>
        </w:rPr>
        <w:t>20 April</w:t>
      </w:r>
      <w:r w:rsidRPr="00854228">
        <w:rPr>
          <w:rFonts w:ascii="Calibri" w:eastAsia="Times New Roman" w:hAnsi="Calibri" w:cs="Times New Roman"/>
          <w:lang w:eastAsia="en-GB"/>
        </w:rPr>
        <w:t xml:space="preserve">, </w:t>
      </w:r>
      <w:r w:rsidR="00854228" w:rsidRPr="00854228">
        <w:rPr>
          <w:rFonts w:ascii="Calibri" w:eastAsia="Times New Roman" w:hAnsi="Calibri" w:cs="Times New Roman"/>
          <w:lang w:eastAsia="en-GB"/>
        </w:rPr>
        <w:t>20 July, 20 October and 20 January.</w:t>
      </w:r>
    </w:p>
    <w:p w14:paraId="4997F271" w14:textId="77777777" w:rsidR="0065670D" w:rsidRDefault="003660DB" w:rsidP="007C4E76">
      <w:pPr>
        <w:spacing w:after="0" w:line="240" w:lineRule="auto"/>
        <w:jc w:val="both"/>
      </w:pPr>
      <w:r w:rsidRPr="00854228">
        <w:t>Letters will be sent to all unitholders and depositors confirming the income distribution on the payment date</w:t>
      </w:r>
      <w:r w:rsidR="0065670D">
        <w:t>.</w:t>
      </w:r>
    </w:p>
    <w:p w14:paraId="653CC3BF" w14:textId="77777777" w:rsidR="0065670D" w:rsidRPr="003660DB" w:rsidRDefault="0065670D" w:rsidP="007C4E76">
      <w:pPr>
        <w:spacing w:after="0" w:line="240" w:lineRule="auto"/>
        <w:jc w:val="both"/>
      </w:pPr>
    </w:p>
    <w:p w14:paraId="61070B06" w14:textId="77777777" w:rsidR="00524FF6" w:rsidRDefault="00524FF6" w:rsidP="007C4E76">
      <w:pPr>
        <w:spacing w:after="0" w:line="240" w:lineRule="auto"/>
        <w:jc w:val="both"/>
        <w:rPr>
          <w:i/>
        </w:rPr>
      </w:pPr>
    </w:p>
    <w:p w14:paraId="7A8E6749" w14:textId="67C739F3" w:rsidR="00974FED" w:rsidRDefault="00BC0905" w:rsidP="007C4E76">
      <w:pPr>
        <w:spacing w:after="0" w:line="240" w:lineRule="auto"/>
        <w:jc w:val="both"/>
        <w:rPr>
          <w:rFonts w:ascii="Calibri" w:eastAsia="Times New Roman" w:hAnsi="Calibri" w:cs="Times New Roman"/>
          <w:lang w:eastAsia="en-GB"/>
        </w:rPr>
      </w:pPr>
      <w:r>
        <w:rPr>
          <w:i/>
        </w:rPr>
        <w:t xml:space="preserve">Additional provisions relating to the </w:t>
      </w:r>
      <w:r w:rsidR="00EA3D0F" w:rsidRPr="0079517A">
        <w:rPr>
          <w:i/>
        </w:rPr>
        <w:t>Deposit Fund</w:t>
      </w:r>
    </w:p>
    <w:p w14:paraId="441D57AD" w14:textId="77777777" w:rsidR="00966F70" w:rsidRPr="00974FED" w:rsidRDefault="00966F70" w:rsidP="007C4E76">
      <w:pPr>
        <w:spacing w:after="0" w:line="240" w:lineRule="auto"/>
        <w:jc w:val="both"/>
        <w:rPr>
          <w:rFonts w:ascii="Calibri" w:eastAsia="Times New Roman" w:hAnsi="Calibri" w:cs="Times New Roman"/>
          <w:lang w:eastAsia="en-GB"/>
        </w:rPr>
      </w:pPr>
      <w:r w:rsidRPr="00966F70">
        <w:rPr>
          <w:rFonts w:eastAsia="Times New Roman" w:cs="Times New Roman"/>
        </w:rPr>
        <w:t xml:space="preserve">Interest on bank and building society deposits is accrued </w:t>
      </w:r>
      <w:proofErr w:type="gramStart"/>
      <w:r w:rsidRPr="00966F70">
        <w:rPr>
          <w:rFonts w:eastAsia="Times New Roman" w:cs="Times New Roman"/>
        </w:rPr>
        <w:t>on a daily basis</w:t>
      </w:r>
      <w:proofErr w:type="gramEnd"/>
      <w:r w:rsidRPr="00966F70">
        <w:rPr>
          <w:rFonts w:eastAsia="Times New Roman" w:cs="Times New Roman"/>
        </w:rPr>
        <w:t xml:space="preserve">.  Premiums and discounts arising on the purchase of </w:t>
      </w:r>
      <w:proofErr w:type="gramStart"/>
      <w:r w:rsidRPr="00966F70">
        <w:rPr>
          <w:rFonts w:eastAsia="Times New Roman" w:cs="Times New Roman"/>
        </w:rPr>
        <w:t>short dated</w:t>
      </w:r>
      <w:proofErr w:type="gramEnd"/>
      <w:r w:rsidRPr="00966F70">
        <w:rPr>
          <w:rFonts w:eastAsia="Times New Roman" w:cs="Times New Roman"/>
        </w:rPr>
        <w:t xml:space="preserve"> investments are amortised on a </w:t>
      </w:r>
      <w:proofErr w:type="gramStart"/>
      <w:r w:rsidRPr="00966F70">
        <w:rPr>
          <w:rFonts w:eastAsia="Times New Roman" w:cs="Times New Roman"/>
        </w:rPr>
        <w:t>straight line</w:t>
      </w:r>
      <w:proofErr w:type="gramEnd"/>
      <w:r w:rsidRPr="00966F70">
        <w:rPr>
          <w:rFonts w:eastAsia="Times New Roman" w:cs="Times New Roman"/>
        </w:rPr>
        <w:t xml:space="preserve"> basis from the date of purchase to maturity.  This amortisation is taken to the Income account.  </w:t>
      </w:r>
    </w:p>
    <w:p w14:paraId="34B960F0" w14:textId="77777777" w:rsidR="00D8559E" w:rsidRDefault="00D8559E" w:rsidP="00BA024A">
      <w:pPr>
        <w:spacing w:after="0" w:line="240" w:lineRule="auto"/>
        <w:jc w:val="both"/>
      </w:pPr>
    </w:p>
    <w:p w14:paraId="46C8AFE7" w14:textId="77777777" w:rsidR="00D8559E" w:rsidRDefault="00D8559E" w:rsidP="007C4E76">
      <w:pPr>
        <w:pStyle w:val="Header"/>
        <w:tabs>
          <w:tab w:val="clear" w:pos="4153"/>
          <w:tab w:val="clear" w:pos="8306"/>
          <w:tab w:val="left" w:pos="567"/>
          <w:tab w:val="decimal" w:pos="6750"/>
          <w:tab w:val="decimal" w:pos="8190"/>
        </w:tabs>
        <w:jc w:val="both"/>
        <w:rPr>
          <w:rFonts w:asciiTheme="minorHAnsi" w:hAnsiTheme="minorHAnsi"/>
          <w:sz w:val="22"/>
          <w:szCs w:val="22"/>
        </w:rPr>
      </w:pPr>
      <w:r w:rsidRPr="00D8559E">
        <w:rPr>
          <w:rFonts w:asciiTheme="minorHAnsi" w:hAnsiTheme="minorHAnsi"/>
          <w:sz w:val="22"/>
          <w:szCs w:val="22"/>
        </w:rPr>
        <w:t xml:space="preserve">The </w:t>
      </w:r>
      <w:r w:rsidR="00675376">
        <w:rPr>
          <w:rFonts w:asciiTheme="minorHAnsi" w:hAnsiTheme="minorHAnsi"/>
          <w:sz w:val="22"/>
          <w:szCs w:val="22"/>
        </w:rPr>
        <w:t xml:space="preserve">Deposit </w:t>
      </w:r>
      <w:r w:rsidRPr="00D8559E">
        <w:rPr>
          <w:rFonts w:asciiTheme="minorHAnsi" w:hAnsiTheme="minorHAnsi"/>
          <w:sz w:val="22"/>
          <w:szCs w:val="22"/>
        </w:rPr>
        <w:t xml:space="preserve">Fund </w:t>
      </w:r>
      <w:r w:rsidR="00675376">
        <w:rPr>
          <w:rFonts w:asciiTheme="minorHAnsi" w:hAnsiTheme="minorHAnsi"/>
          <w:sz w:val="22"/>
          <w:szCs w:val="22"/>
        </w:rPr>
        <w:t xml:space="preserve">may </w:t>
      </w:r>
      <w:r w:rsidRPr="00D8559E">
        <w:rPr>
          <w:rFonts w:asciiTheme="minorHAnsi" w:hAnsiTheme="minorHAnsi"/>
          <w:sz w:val="22"/>
          <w:szCs w:val="22"/>
        </w:rPr>
        <w:t>operate an income reserve which is accumulated out of income and held on trust for depositors for the time being.  The income reserve is maintained to ensure payment of interest to depositors each month even though a proportion of the income earned by the Fund will not be received until maturity of individual deposits.  The reserve is also available to augment the Fund’s deposit rate and to provide against potential default of counterparties.</w:t>
      </w:r>
    </w:p>
    <w:p w14:paraId="1C110D28" w14:textId="77777777" w:rsidR="00BC0905" w:rsidRPr="00D8559E" w:rsidRDefault="00BC0905" w:rsidP="007C4E76">
      <w:pPr>
        <w:pStyle w:val="Header"/>
        <w:tabs>
          <w:tab w:val="clear" w:pos="4153"/>
          <w:tab w:val="clear" w:pos="8306"/>
          <w:tab w:val="left" w:pos="567"/>
          <w:tab w:val="decimal" w:pos="6750"/>
          <w:tab w:val="decimal" w:pos="8190"/>
        </w:tabs>
        <w:jc w:val="both"/>
        <w:rPr>
          <w:rFonts w:asciiTheme="minorHAnsi" w:hAnsiTheme="minorHAnsi"/>
          <w:sz w:val="22"/>
          <w:szCs w:val="22"/>
        </w:rPr>
      </w:pPr>
    </w:p>
    <w:p w14:paraId="55328202" w14:textId="77777777" w:rsidR="00D8559E" w:rsidRDefault="00BC0905" w:rsidP="00BA024A">
      <w:pPr>
        <w:spacing w:after="0" w:line="240" w:lineRule="auto"/>
        <w:jc w:val="both"/>
      </w:pPr>
      <w:r w:rsidRPr="00966F70">
        <w:t xml:space="preserve">All income of the Fund, after deduction of management and other expenses, and transfers to/from </w:t>
      </w:r>
      <w:r w:rsidR="004505C2">
        <w:t xml:space="preserve">the </w:t>
      </w:r>
      <w:r w:rsidRPr="00966F70">
        <w:t xml:space="preserve">income reserve, is distributed to account holders.  </w:t>
      </w:r>
    </w:p>
    <w:p w14:paraId="0DB275B3" w14:textId="77777777" w:rsidR="004505C2" w:rsidRDefault="004505C2" w:rsidP="00BA024A">
      <w:pPr>
        <w:spacing w:after="0" w:line="240" w:lineRule="auto"/>
        <w:jc w:val="both"/>
      </w:pPr>
    </w:p>
    <w:p w14:paraId="125A07E1" w14:textId="157512C4" w:rsidR="000862EC" w:rsidRPr="000862EC" w:rsidRDefault="000862EC" w:rsidP="007C4E76">
      <w:pPr>
        <w:spacing w:line="240" w:lineRule="auto"/>
        <w:jc w:val="both"/>
        <w:rPr>
          <w:color w:val="000000" w:themeColor="text1"/>
        </w:rPr>
      </w:pPr>
      <w:r w:rsidRPr="000862EC">
        <w:rPr>
          <w:color w:val="000000" w:themeColor="text1"/>
        </w:rPr>
        <w:t>Fund distribution payments are usually made to the clients CFB Deposit Fund account or the clients nominated bank account as advised and verified on set up. This verification</w:t>
      </w:r>
      <w:r w:rsidR="0098472F">
        <w:rPr>
          <w:color w:val="000000" w:themeColor="text1"/>
        </w:rPr>
        <w:t xml:space="preserve"> is</w:t>
      </w:r>
      <w:r w:rsidRPr="000862EC">
        <w:rPr>
          <w:color w:val="000000" w:themeColor="text1"/>
        </w:rPr>
        <w:t xml:space="preserve"> to include a voided cheque or paying in slip in the name of the client. For security purposes the CFB may telephone the client to verify updated information before amending any bank details. </w:t>
      </w:r>
    </w:p>
    <w:p w14:paraId="22ED10E4" w14:textId="77777777" w:rsidR="002B6EE5" w:rsidRDefault="002B6EE5" w:rsidP="00E46A75">
      <w:pPr>
        <w:pStyle w:val="ListParagraph"/>
        <w:numPr>
          <w:ilvl w:val="0"/>
          <w:numId w:val="2"/>
        </w:numPr>
        <w:spacing w:after="0" w:line="240" w:lineRule="auto"/>
        <w:contextualSpacing w:val="0"/>
        <w:jc w:val="both"/>
        <w:rPr>
          <w:b/>
        </w:rPr>
      </w:pPr>
      <w:r>
        <w:rPr>
          <w:b/>
        </w:rPr>
        <w:t>Voting Policy</w:t>
      </w:r>
    </w:p>
    <w:p w14:paraId="7BADBF9C" w14:textId="77777777" w:rsidR="002B6EE5" w:rsidRDefault="002B6EE5" w:rsidP="00E46A75">
      <w:pPr>
        <w:spacing w:after="0" w:line="240" w:lineRule="auto"/>
        <w:jc w:val="both"/>
        <w:rPr>
          <w:b/>
        </w:rPr>
      </w:pPr>
    </w:p>
    <w:p w14:paraId="539CBA22" w14:textId="113A8383" w:rsidR="002B6EE5" w:rsidRPr="002B6EE5" w:rsidRDefault="00D16398" w:rsidP="00E46A75">
      <w:pPr>
        <w:spacing w:after="0" w:line="240" w:lineRule="auto"/>
        <w:jc w:val="both"/>
      </w:pPr>
      <w:r>
        <w:t xml:space="preserve">The fund’s equity exposures are managed by Epworth. Epworth’s voting policy can be viewed at </w:t>
      </w:r>
      <w:hyperlink r:id="rId16" w:history="1">
        <w:r w:rsidRPr="00D16398">
          <w:rPr>
            <w:rStyle w:val="Hyperlink"/>
          </w:rPr>
          <w:t>https://epworthim.com/voting/</w:t>
        </w:r>
      </w:hyperlink>
      <w:r>
        <w:t xml:space="preserve"> . </w:t>
      </w:r>
      <w:r w:rsidR="002B6EE5" w:rsidRPr="002B6EE5">
        <w:t>If any conflicts arise between the voting policy and the best interests of the Fund</w:t>
      </w:r>
      <w:r w:rsidR="0087063E">
        <w:t>,</w:t>
      </w:r>
      <w:r w:rsidR="002B6EE5" w:rsidRPr="002B6EE5">
        <w:t xml:space="preserve"> they will be scrutinised on a </w:t>
      </w:r>
      <w:proofErr w:type="gramStart"/>
      <w:r w:rsidR="002B6EE5" w:rsidRPr="002B6EE5">
        <w:t>case by case</w:t>
      </w:r>
      <w:proofErr w:type="gramEnd"/>
      <w:r w:rsidR="002B6EE5" w:rsidRPr="002B6EE5">
        <w:t xml:space="preserve"> basis by</w:t>
      </w:r>
      <w:r w:rsidR="00D14A0E">
        <w:t xml:space="preserve"> the Investment team</w:t>
      </w:r>
      <w:r w:rsidR="002B6EE5" w:rsidRPr="002B6EE5">
        <w:t>.</w:t>
      </w:r>
    </w:p>
    <w:p w14:paraId="3E9D8AEF" w14:textId="77777777" w:rsidR="002B6EE5" w:rsidRPr="002B6EE5" w:rsidRDefault="002B6EE5" w:rsidP="00E46A75">
      <w:pPr>
        <w:spacing w:after="0" w:line="240" w:lineRule="auto"/>
        <w:jc w:val="both"/>
        <w:rPr>
          <w:b/>
        </w:rPr>
      </w:pPr>
    </w:p>
    <w:p w14:paraId="3CE7D1D5" w14:textId="77777777" w:rsidR="003D53CB" w:rsidRDefault="003D53CB" w:rsidP="00E46A75">
      <w:pPr>
        <w:pStyle w:val="ListParagraph"/>
        <w:numPr>
          <w:ilvl w:val="0"/>
          <w:numId w:val="2"/>
        </w:numPr>
        <w:spacing w:after="0" w:line="240" w:lineRule="auto"/>
        <w:contextualSpacing w:val="0"/>
        <w:jc w:val="both"/>
        <w:rPr>
          <w:b/>
        </w:rPr>
      </w:pPr>
      <w:r>
        <w:rPr>
          <w:b/>
        </w:rPr>
        <w:t>Fees and other charges</w:t>
      </w:r>
    </w:p>
    <w:p w14:paraId="2469BE82" w14:textId="77777777" w:rsidR="003D53CB" w:rsidRDefault="003D53CB" w:rsidP="00E46A75">
      <w:pPr>
        <w:pStyle w:val="ListParagraph"/>
        <w:spacing w:after="0" w:line="240" w:lineRule="auto"/>
        <w:ind w:left="786"/>
        <w:contextualSpacing w:val="0"/>
        <w:jc w:val="both"/>
        <w:rPr>
          <w:b/>
        </w:rPr>
      </w:pPr>
    </w:p>
    <w:p w14:paraId="07BE4ACF" w14:textId="5E4CD84F" w:rsidR="003D53CB" w:rsidRDefault="003D53CB" w:rsidP="00E46A75">
      <w:pPr>
        <w:spacing w:after="0" w:line="240" w:lineRule="auto"/>
        <w:jc w:val="both"/>
      </w:pPr>
      <w:r>
        <w:t xml:space="preserve">The CFB charges fees to each fund </w:t>
      </w:r>
      <w:r w:rsidR="003B3C2E">
        <w:t>to</w:t>
      </w:r>
      <w:r>
        <w:t xml:space="preserve"> </w:t>
      </w:r>
      <w:r w:rsidRPr="001C66BF">
        <w:t>cover all administrative expenses in relation to the management of the Fund</w:t>
      </w:r>
      <w:r>
        <w:t>s</w:t>
      </w:r>
      <w:r w:rsidR="00230C82">
        <w:t>.</w:t>
      </w:r>
      <w:r w:rsidRPr="001C66BF">
        <w:t xml:space="preserve"> </w:t>
      </w:r>
      <w:r>
        <w:t xml:space="preserve">The CFB is a </w:t>
      </w:r>
      <w:r w:rsidR="00445DD6">
        <w:t>not-for-profit</w:t>
      </w:r>
      <w:r>
        <w:t xml:space="preserve"> </w:t>
      </w:r>
      <w:proofErr w:type="gramStart"/>
      <w:r>
        <w:t>organisation</w:t>
      </w:r>
      <w:proofErr w:type="gramEnd"/>
      <w:r>
        <w:t xml:space="preserve"> and the Council assesses the revenue that it needs to </w:t>
      </w:r>
      <w:r w:rsidR="003B3C2E">
        <w:t xml:space="preserve">collect from the Funds </w:t>
      </w:r>
      <w:proofErr w:type="gramStart"/>
      <w:r w:rsidR="003B3C2E">
        <w:t>in order to</w:t>
      </w:r>
      <w:proofErr w:type="gramEnd"/>
      <w:r w:rsidR="003B3C2E">
        <w:t xml:space="preserve"> </w:t>
      </w:r>
      <w:r>
        <w:t xml:space="preserve">meet the running costs of the </w:t>
      </w:r>
      <w:r w:rsidR="003B3C2E">
        <w:t xml:space="preserve">organisation. The Council </w:t>
      </w:r>
      <w:r>
        <w:t xml:space="preserve">apportions these </w:t>
      </w:r>
      <w:r w:rsidR="003B3C2E">
        <w:t xml:space="preserve">costs </w:t>
      </w:r>
      <w:r>
        <w:t>across the funds in an equ</w:t>
      </w:r>
      <w:r w:rsidR="003B3C2E">
        <w:t>itable manner to reflect fees on different asset classes in</w:t>
      </w:r>
      <w:r>
        <w:t xml:space="preserve"> </w:t>
      </w:r>
      <w:r w:rsidR="003B3C2E">
        <w:t>equivalent</w:t>
      </w:r>
      <w:r>
        <w:t xml:space="preserve"> </w:t>
      </w:r>
      <w:r w:rsidR="00445DD6">
        <w:t>third-party</w:t>
      </w:r>
      <w:r>
        <w:t xml:space="preserve"> funds. </w:t>
      </w:r>
      <w:r w:rsidR="003B3C2E">
        <w:t xml:space="preserve">One of the key objectives of the CFB’s mission statement is to be a </w:t>
      </w:r>
      <w:r w:rsidR="00445DD6">
        <w:t>low-cost</w:t>
      </w:r>
      <w:r w:rsidR="003B3C2E">
        <w:t xml:space="preserve"> provider to Methodism and the Council therefore endeavours to manage our cost base and the allocation of fees to each Fund to deliver fund charges that are significantly lower than equivalent external funds.</w:t>
      </w:r>
    </w:p>
    <w:p w14:paraId="2A48A8EA" w14:textId="77777777" w:rsidR="003D53CB" w:rsidRDefault="003D53CB" w:rsidP="00E46A75">
      <w:pPr>
        <w:spacing w:after="0" w:line="240" w:lineRule="auto"/>
        <w:jc w:val="both"/>
      </w:pPr>
    </w:p>
    <w:p w14:paraId="4084D7F3" w14:textId="45132A1D" w:rsidR="003D53CB" w:rsidRPr="00A815DB" w:rsidRDefault="003B3C2E" w:rsidP="00E46A75">
      <w:pPr>
        <w:spacing w:after="0" w:line="240" w:lineRule="auto"/>
        <w:jc w:val="both"/>
      </w:pPr>
      <w:r>
        <w:t xml:space="preserve">Full details on the </w:t>
      </w:r>
      <w:r w:rsidR="009D6375">
        <w:t xml:space="preserve">CFB and third </w:t>
      </w:r>
      <w:proofErr w:type="gramStart"/>
      <w:r w:rsidR="009D6375">
        <w:t xml:space="preserve">party  </w:t>
      </w:r>
      <w:r>
        <w:t>fees</w:t>
      </w:r>
      <w:proofErr w:type="gramEnd"/>
      <w:r>
        <w:t xml:space="preserve"> and other charges to each CFB Fund can be found in Appendix Two. There </w:t>
      </w:r>
      <w:r w:rsidR="0087063E">
        <w:t xml:space="preserve">is one </w:t>
      </w:r>
      <w:r>
        <w:t>exception to these standard fee rates:</w:t>
      </w:r>
    </w:p>
    <w:p w14:paraId="435D4EEF" w14:textId="77777777" w:rsidR="003D53CB" w:rsidRDefault="003D53CB" w:rsidP="00E46A75">
      <w:pPr>
        <w:spacing w:after="0" w:line="240" w:lineRule="auto"/>
        <w:jc w:val="both"/>
        <w:rPr>
          <w:sz w:val="18"/>
        </w:rPr>
      </w:pPr>
    </w:p>
    <w:p w14:paraId="5BE1305B" w14:textId="77777777" w:rsidR="003D53CB" w:rsidRDefault="003D53CB" w:rsidP="00E46A75">
      <w:pPr>
        <w:spacing w:after="0" w:line="240" w:lineRule="auto"/>
        <w:jc w:val="both"/>
      </w:pPr>
    </w:p>
    <w:p w14:paraId="690901E0" w14:textId="51E99D42" w:rsidR="003D53CB" w:rsidRPr="00FA6EF2" w:rsidRDefault="00C46463" w:rsidP="00E46A75">
      <w:pPr>
        <w:pStyle w:val="ListParagraph"/>
        <w:numPr>
          <w:ilvl w:val="0"/>
          <w:numId w:val="12"/>
        </w:numPr>
        <w:spacing w:after="0" w:line="240" w:lineRule="auto"/>
        <w:jc w:val="both"/>
      </w:pPr>
      <w:r>
        <w:t xml:space="preserve">The </w:t>
      </w:r>
      <w:r w:rsidR="003D53CB">
        <w:t>T</w:t>
      </w:r>
      <w:r>
        <w:t>rustees for Methodist Church Purposes (TMCP)</w:t>
      </w:r>
      <w:r w:rsidR="003D53CB">
        <w:t xml:space="preserve"> consolidates </w:t>
      </w:r>
      <w:r>
        <w:t xml:space="preserve">Methodist trust </w:t>
      </w:r>
      <w:r w:rsidR="003D53CB">
        <w:t xml:space="preserve">deposits in their records and makes one deposit into the </w:t>
      </w:r>
      <w:r w:rsidR="002271FD">
        <w:t xml:space="preserve">CFB </w:t>
      </w:r>
      <w:r w:rsidR="003D53CB">
        <w:t>Deposit Fund. These consolid</w:t>
      </w:r>
      <w:r>
        <w:t xml:space="preserve">ated deposits pay a reduced </w:t>
      </w:r>
      <w:r w:rsidR="0C373DFD">
        <w:t xml:space="preserve">management </w:t>
      </w:r>
      <w:r>
        <w:t>fee to the standard rate.</w:t>
      </w:r>
    </w:p>
    <w:p w14:paraId="1999E105" w14:textId="77777777" w:rsidR="003D53CB" w:rsidRDefault="003D53CB" w:rsidP="00E46A75">
      <w:pPr>
        <w:spacing w:after="0" w:line="260" w:lineRule="exact"/>
        <w:jc w:val="both"/>
        <w:rPr>
          <w:rFonts w:ascii="Arial" w:eastAsia="Times New Roman" w:hAnsi="Arial" w:cs="Times New Roman"/>
          <w:b/>
          <w:color w:val="000000"/>
          <w:sz w:val="20"/>
          <w:szCs w:val="20"/>
          <w:lang w:eastAsia="en-GB"/>
        </w:rPr>
      </w:pPr>
    </w:p>
    <w:p w14:paraId="3F5A2CD9" w14:textId="6A0D51CC" w:rsidR="003D53CB" w:rsidRDefault="2E06F8D3" w:rsidP="00E46A75">
      <w:pPr>
        <w:spacing w:after="0" w:line="260" w:lineRule="exact"/>
        <w:jc w:val="both"/>
        <w:rPr>
          <w:rFonts w:eastAsia="Times New Roman" w:cs="Times New Roman"/>
          <w:color w:val="000000"/>
          <w:lang w:eastAsia="en-GB"/>
        </w:rPr>
      </w:pPr>
      <w:r w:rsidRPr="6FD3DBE0">
        <w:rPr>
          <w:rFonts w:eastAsia="Times New Roman" w:cs="Times New Roman"/>
          <w:color w:val="000000" w:themeColor="text1"/>
          <w:lang w:eastAsia="en-GB"/>
        </w:rPr>
        <w:t xml:space="preserve">Where the CFB Funds invest into </w:t>
      </w:r>
      <w:r w:rsidR="007070C2">
        <w:rPr>
          <w:rFonts w:eastAsia="Times New Roman" w:cs="Times New Roman"/>
          <w:color w:val="000000" w:themeColor="text1"/>
          <w:lang w:eastAsia="en-GB"/>
        </w:rPr>
        <w:t>the WS</w:t>
      </w:r>
      <w:r w:rsidR="007070C2" w:rsidRPr="6FD3DBE0">
        <w:rPr>
          <w:rFonts w:eastAsia="Times New Roman" w:cs="Times New Roman"/>
          <w:color w:val="000000" w:themeColor="text1"/>
          <w:lang w:eastAsia="en-GB"/>
        </w:rPr>
        <w:t xml:space="preserve"> </w:t>
      </w:r>
      <w:r w:rsidR="48E17E90" w:rsidRPr="6FD3DBE0">
        <w:rPr>
          <w:rFonts w:eastAsia="Times New Roman" w:cs="Times New Roman"/>
          <w:color w:val="000000" w:themeColor="text1"/>
          <w:lang w:eastAsia="en-GB"/>
        </w:rPr>
        <w:t>Epworth</w:t>
      </w:r>
      <w:r w:rsidR="007070C2">
        <w:rPr>
          <w:rFonts w:eastAsia="Times New Roman" w:cs="Times New Roman"/>
          <w:color w:val="000000" w:themeColor="text1"/>
          <w:lang w:eastAsia="en-GB"/>
        </w:rPr>
        <w:t xml:space="preserve"> Investment Funds for Charities</w:t>
      </w:r>
      <w:r w:rsidRPr="6FD3DBE0">
        <w:rPr>
          <w:rFonts w:eastAsia="Times New Roman" w:cs="Times New Roman"/>
          <w:color w:val="000000" w:themeColor="text1"/>
          <w:lang w:eastAsia="en-GB"/>
        </w:rPr>
        <w:t xml:space="preserve"> they do so via a nil management fee unit (or </w:t>
      </w:r>
      <w:r w:rsidR="03457E46" w:rsidRPr="6FD3DBE0">
        <w:rPr>
          <w:rFonts w:eastAsia="Times New Roman" w:cs="Times New Roman"/>
          <w:color w:val="000000" w:themeColor="text1"/>
          <w:lang w:eastAsia="en-GB"/>
        </w:rPr>
        <w:t>deposit</w:t>
      </w:r>
      <w:r w:rsidRPr="6FD3DBE0">
        <w:rPr>
          <w:rFonts w:eastAsia="Times New Roman" w:cs="Times New Roman"/>
          <w:color w:val="000000" w:themeColor="text1"/>
          <w:lang w:eastAsia="en-GB"/>
        </w:rPr>
        <w:t xml:space="preserve">). Fees are charged on the CFB Funds in </w:t>
      </w:r>
      <w:r w:rsidR="6CAA2800" w:rsidRPr="6FD3DBE0">
        <w:rPr>
          <w:rFonts w:eastAsia="Times New Roman" w:cs="Times New Roman"/>
          <w:color w:val="000000" w:themeColor="text1"/>
          <w:lang w:eastAsia="en-GB"/>
        </w:rPr>
        <w:t>accordance</w:t>
      </w:r>
      <w:r w:rsidRPr="6FD3DBE0">
        <w:rPr>
          <w:rFonts w:eastAsia="Times New Roman" w:cs="Times New Roman"/>
          <w:color w:val="000000" w:themeColor="text1"/>
          <w:lang w:eastAsia="en-GB"/>
        </w:rPr>
        <w:t xml:space="preserve"> with the fee schedule in </w:t>
      </w:r>
      <w:r w:rsidR="1603140B" w:rsidRPr="6FD3DBE0">
        <w:rPr>
          <w:rFonts w:eastAsia="Times New Roman" w:cs="Times New Roman"/>
          <w:color w:val="000000" w:themeColor="text1"/>
          <w:lang w:eastAsia="en-GB"/>
        </w:rPr>
        <w:t>Appendix two</w:t>
      </w:r>
      <w:r w:rsidR="007070C2">
        <w:rPr>
          <w:rFonts w:eastAsia="Times New Roman" w:cs="Times New Roman"/>
          <w:color w:val="000000" w:themeColor="text1"/>
          <w:lang w:eastAsia="en-GB"/>
        </w:rPr>
        <w:t>.</w:t>
      </w:r>
    </w:p>
    <w:p w14:paraId="54F6CBC1" w14:textId="77777777" w:rsidR="005A29A2" w:rsidRDefault="005A29A2" w:rsidP="00E46A75">
      <w:pPr>
        <w:spacing w:after="0" w:line="240" w:lineRule="auto"/>
        <w:jc w:val="both"/>
        <w:rPr>
          <w:b/>
        </w:rPr>
      </w:pPr>
    </w:p>
    <w:p w14:paraId="1158274D" w14:textId="77777777" w:rsidR="00524FF6" w:rsidRDefault="00524FF6" w:rsidP="00E46A75">
      <w:pPr>
        <w:spacing w:after="0" w:line="240" w:lineRule="auto"/>
        <w:jc w:val="both"/>
        <w:rPr>
          <w:b/>
        </w:rPr>
      </w:pPr>
    </w:p>
    <w:p w14:paraId="5829D361" w14:textId="77777777" w:rsidR="00524FF6" w:rsidRDefault="00524FF6" w:rsidP="00E46A75">
      <w:pPr>
        <w:spacing w:after="0" w:line="240" w:lineRule="auto"/>
        <w:jc w:val="both"/>
        <w:rPr>
          <w:b/>
        </w:rPr>
      </w:pPr>
    </w:p>
    <w:p w14:paraId="0CE4E0D6" w14:textId="77777777" w:rsidR="00524FF6" w:rsidRDefault="00524FF6" w:rsidP="00E46A75">
      <w:pPr>
        <w:spacing w:after="0" w:line="240" w:lineRule="auto"/>
        <w:jc w:val="both"/>
        <w:rPr>
          <w:b/>
        </w:rPr>
      </w:pPr>
    </w:p>
    <w:p w14:paraId="7579D4E6" w14:textId="77777777" w:rsidR="005A29A2" w:rsidRDefault="005A29A2" w:rsidP="00E46A75">
      <w:pPr>
        <w:spacing w:after="0" w:line="240" w:lineRule="auto"/>
        <w:jc w:val="both"/>
        <w:rPr>
          <w:b/>
        </w:rPr>
      </w:pPr>
    </w:p>
    <w:p w14:paraId="4E783D0B" w14:textId="77777777" w:rsidR="004F2C78" w:rsidRDefault="004F2C78" w:rsidP="00E46A75">
      <w:pPr>
        <w:spacing w:after="0" w:line="240" w:lineRule="auto"/>
        <w:jc w:val="both"/>
        <w:rPr>
          <w:b/>
        </w:rPr>
      </w:pPr>
    </w:p>
    <w:p w14:paraId="45579FA2" w14:textId="77777777" w:rsidR="004F2C78" w:rsidRDefault="004F2C78" w:rsidP="00E46A75">
      <w:pPr>
        <w:spacing w:after="0" w:line="240" w:lineRule="auto"/>
        <w:jc w:val="both"/>
        <w:rPr>
          <w:b/>
        </w:rPr>
      </w:pPr>
    </w:p>
    <w:p w14:paraId="48BCCA8C" w14:textId="77777777" w:rsidR="004F2C78" w:rsidRDefault="004F2C78" w:rsidP="00E46A75">
      <w:pPr>
        <w:spacing w:after="0" w:line="240" w:lineRule="auto"/>
        <w:jc w:val="both"/>
        <w:rPr>
          <w:b/>
        </w:rPr>
      </w:pPr>
    </w:p>
    <w:p w14:paraId="168FFEEE" w14:textId="77777777" w:rsidR="004F2C78" w:rsidRPr="003D53CB" w:rsidRDefault="004F2C78" w:rsidP="00E46A75">
      <w:pPr>
        <w:spacing w:after="0" w:line="240" w:lineRule="auto"/>
        <w:jc w:val="both"/>
        <w:rPr>
          <w:b/>
        </w:rPr>
      </w:pPr>
    </w:p>
    <w:p w14:paraId="483071BC" w14:textId="77777777" w:rsidR="00FD6EDC" w:rsidRDefault="00FD6EDC" w:rsidP="00E46A75">
      <w:pPr>
        <w:pStyle w:val="ListParagraph"/>
        <w:numPr>
          <w:ilvl w:val="0"/>
          <w:numId w:val="2"/>
        </w:numPr>
        <w:spacing w:after="0" w:line="240" w:lineRule="auto"/>
        <w:contextualSpacing w:val="0"/>
        <w:jc w:val="both"/>
        <w:rPr>
          <w:b/>
        </w:rPr>
      </w:pPr>
      <w:r>
        <w:rPr>
          <w:b/>
        </w:rPr>
        <w:lastRenderedPageBreak/>
        <w:t>Changes to client data and instructions</w:t>
      </w:r>
    </w:p>
    <w:p w14:paraId="0588251F" w14:textId="77777777" w:rsidR="00FD6EDC" w:rsidRDefault="00FD6EDC" w:rsidP="00E46A75">
      <w:pPr>
        <w:spacing w:after="0" w:line="240" w:lineRule="auto"/>
        <w:jc w:val="both"/>
        <w:rPr>
          <w:b/>
        </w:rPr>
      </w:pPr>
    </w:p>
    <w:p w14:paraId="5304D859" w14:textId="7E576FB6" w:rsidR="003660DB" w:rsidRDefault="00FD6EDC" w:rsidP="00E46A75">
      <w:pPr>
        <w:spacing w:after="0" w:line="240" w:lineRule="auto"/>
        <w:jc w:val="both"/>
        <w:rPr>
          <w:rFonts w:eastAsia="Times New Roman" w:cs="Times New Roman"/>
          <w:lang w:eastAsia="en-GB"/>
        </w:rPr>
      </w:pPr>
      <w:r>
        <w:rPr>
          <w:rFonts w:eastAsia="Times New Roman" w:cs="Times New Roman"/>
          <w:lang w:eastAsia="en-GB"/>
        </w:rPr>
        <w:t>Changes to the unit-holders</w:t>
      </w:r>
      <w:r w:rsidRPr="00FD6EDC">
        <w:rPr>
          <w:rFonts w:eastAsia="Times New Roman" w:cs="Times New Roman"/>
          <w:lang w:eastAsia="en-GB"/>
        </w:rPr>
        <w:t xml:space="preserve"> address, correspondent’s details and registered bank details </w:t>
      </w:r>
      <w:r w:rsidR="000D00B3">
        <w:rPr>
          <w:rFonts w:eastAsia="Times New Roman" w:cs="Times New Roman"/>
          <w:lang w:eastAsia="en-GB"/>
        </w:rPr>
        <w:t xml:space="preserve">can be instructed via the completion of a Mandate Change Form or an instruction signed by an authorised signatory for the account. </w:t>
      </w:r>
    </w:p>
    <w:p w14:paraId="7BECB01C" w14:textId="77777777" w:rsidR="003660DB" w:rsidRDefault="003660DB" w:rsidP="00E46A75">
      <w:pPr>
        <w:spacing w:after="0" w:line="240" w:lineRule="auto"/>
        <w:jc w:val="both"/>
        <w:rPr>
          <w:rFonts w:eastAsia="Times New Roman" w:cs="Times New Roman"/>
          <w:lang w:eastAsia="en-GB"/>
        </w:rPr>
      </w:pPr>
    </w:p>
    <w:p w14:paraId="422D23F3" w14:textId="7B6591F9" w:rsidR="00FD6EDC" w:rsidRDefault="00FD6EDC" w:rsidP="00E46A75">
      <w:pPr>
        <w:spacing w:after="0" w:line="240" w:lineRule="auto"/>
        <w:jc w:val="both"/>
        <w:rPr>
          <w:rFonts w:eastAsia="Times New Roman" w:cs="Times New Roman"/>
          <w:lang w:eastAsia="en-GB"/>
        </w:rPr>
      </w:pPr>
      <w:r w:rsidRPr="00FD6EDC">
        <w:rPr>
          <w:rFonts w:eastAsia="Times New Roman" w:cs="Times New Roman"/>
          <w:lang w:eastAsia="en-GB"/>
        </w:rPr>
        <w:t xml:space="preserve">Any change of unitholder is confirmed in writing to the new and old unitholder. </w:t>
      </w:r>
      <w:proofErr w:type="gramStart"/>
      <w:r w:rsidRPr="00FD6EDC">
        <w:rPr>
          <w:rFonts w:eastAsia="Times New Roman" w:cs="Times New Roman"/>
          <w:lang w:eastAsia="en-GB"/>
        </w:rPr>
        <w:t>Similarly</w:t>
      </w:r>
      <w:proofErr w:type="gramEnd"/>
      <w:r w:rsidRPr="00FD6EDC">
        <w:rPr>
          <w:rFonts w:eastAsia="Times New Roman" w:cs="Times New Roman"/>
          <w:lang w:eastAsia="en-GB"/>
        </w:rPr>
        <w:t xml:space="preserve"> a change of address is confirmed to the old and new address</w:t>
      </w:r>
      <w:r w:rsidRPr="00BF6FAB">
        <w:rPr>
          <w:rFonts w:eastAsia="Times New Roman" w:cs="Times New Roman"/>
          <w:lang w:eastAsia="en-GB"/>
        </w:rPr>
        <w:t>. Changes to bank details must be supported by a blank paying in slip</w:t>
      </w:r>
      <w:r w:rsidR="000D00B3">
        <w:rPr>
          <w:rFonts w:eastAsia="Times New Roman" w:cs="Times New Roman"/>
          <w:lang w:eastAsia="en-GB"/>
        </w:rPr>
        <w:t xml:space="preserve">, </w:t>
      </w:r>
      <w:r w:rsidR="00D113E2" w:rsidRPr="00BF6FAB">
        <w:rPr>
          <w:rFonts w:eastAsia="Times New Roman" w:cs="Times New Roman"/>
          <w:lang w:eastAsia="en-GB"/>
        </w:rPr>
        <w:t>void</w:t>
      </w:r>
      <w:r w:rsidR="0070142A" w:rsidRPr="00BF6FAB">
        <w:rPr>
          <w:rFonts w:eastAsia="Times New Roman" w:cs="Times New Roman"/>
          <w:lang w:eastAsia="en-GB"/>
        </w:rPr>
        <w:t>ed cheque</w:t>
      </w:r>
      <w:r w:rsidR="000D00B3">
        <w:rPr>
          <w:rFonts w:eastAsia="Times New Roman" w:cs="Times New Roman"/>
          <w:lang w:eastAsia="en-GB"/>
        </w:rPr>
        <w:t xml:space="preserve"> or bank statement</w:t>
      </w:r>
      <w:r w:rsidR="0070142A" w:rsidRPr="00BF6FAB">
        <w:rPr>
          <w:rFonts w:eastAsia="Times New Roman" w:cs="Times New Roman"/>
          <w:lang w:eastAsia="en-GB"/>
        </w:rPr>
        <w:t>. The CFB may not make any requested change to bank account details until a security telephone call has been completed.</w:t>
      </w:r>
    </w:p>
    <w:p w14:paraId="58C8EBD4" w14:textId="77777777" w:rsidR="0070142A" w:rsidRPr="00FD6EDC" w:rsidRDefault="0070142A" w:rsidP="00E46A75">
      <w:pPr>
        <w:spacing w:after="0" w:line="240" w:lineRule="auto"/>
        <w:jc w:val="both"/>
        <w:rPr>
          <w:b/>
        </w:rPr>
      </w:pPr>
    </w:p>
    <w:p w14:paraId="2F0C19F4" w14:textId="77777777" w:rsidR="00966F70" w:rsidRDefault="00966F70" w:rsidP="00E46A75">
      <w:pPr>
        <w:pStyle w:val="ListParagraph"/>
        <w:numPr>
          <w:ilvl w:val="0"/>
          <w:numId w:val="2"/>
        </w:numPr>
        <w:spacing w:after="0" w:line="240" w:lineRule="auto"/>
        <w:contextualSpacing w:val="0"/>
        <w:jc w:val="both"/>
        <w:rPr>
          <w:b/>
        </w:rPr>
      </w:pPr>
      <w:r>
        <w:rPr>
          <w:b/>
        </w:rPr>
        <w:t>Accounting Policies</w:t>
      </w:r>
    </w:p>
    <w:p w14:paraId="7E4C7BBB" w14:textId="77777777" w:rsidR="001C66BF" w:rsidRDefault="001C66BF" w:rsidP="00E46A75">
      <w:pPr>
        <w:pStyle w:val="ListParagraph"/>
        <w:spacing w:after="0" w:line="240" w:lineRule="auto"/>
        <w:ind w:left="786"/>
        <w:contextualSpacing w:val="0"/>
        <w:jc w:val="both"/>
        <w:rPr>
          <w:b/>
        </w:rPr>
      </w:pPr>
    </w:p>
    <w:p w14:paraId="5733A9D2" w14:textId="38891255" w:rsidR="00966F70" w:rsidRDefault="001C66BF" w:rsidP="00E46A75">
      <w:pPr>
        <w:spacing w:after="0" w:line="240" w:lineRule="auto"/>
        <w:jc w:val="both"/>
      </w:pPr>
      <w:r w:rsidRPr="001C66BF">
        <w:t xml:space="preserve">The accounts have been prepared under the historic cost convention, as modified by the revaluation of investments, and in accordance with FRS102 “The Financial Reporting Standard applicable in the UK and Republic of Ireland” and </w:t>
      </w:r>
      <w:r w:rsidR="0098472F">
        <w:t xml:space="preserve">with reference to </w:t>
      </w:r>
      <w:r w:rsidRPr="001C66BF">
        <w:t>the Statement of Recommended Practice issued by the Investment Management Association in 2014, and the requirements of the Methodist Church Funds Act 1960</w:t>
      </w:r>
    </w:p>
    <w:p w14:paraId="7406C4E9" w14:textId="77777777" w:rsidR="001C66BF" w:rsidRPr="001C66BF" w:rsidRDefault="001C66BF" w:rsidP="00E46A75">
      <w:pPr>
        <w:spacing w:after="0" w:line="240" w:lineRule="auto"/>
        <w:jc w:val="both"/>
        <w:rPr>
          <w:b/>
        </w:rPr>
      </w:pPr>
    </w:p>
    <w:p w14:paraId="42BD26DD" w14:textId="77777777" w:rsidR="003F10B0" w:rsidRDefault="003F10B0" w:rsidP="00E46A75">
      <w:pPr>
        <w:pStyle w:val="ListParagraph"/>
        <w:numPr>
          <w:ilvl w:val="0"/>
          <w:numId w:val="2"/>
        </w:numPr>
        <w:spacing w:after="0" w:line="240" w:lineRule="auto"/>
        <w:contextualSpacing w:val="0"/>
        <w:jc w:val="both"/>
        <w:rPr>
          <w:b/>
        </w:rPr>
      </w:pPr>
      <w:r>
        <w:rPr>
          <w:b/>
        </w:rPr>
        <w:t>Basis of Valuation</w:t>
      </w:r>
    </w:p>
    <w:p w14:paraId="6D88CED0" w14:textId="77777777" w:rsidR="003F10B0" w:rsidRPr="003A360E" w:rsidRDefault="003F10B0" w:rsidP="00E46A75">
      <w:pPr>
        <w:spacing w:after="0" w:line="240" w:lineRule="auto"/>
        <w:ind w:left="426"/>
        <w:jc w:val="both"/>
        <w:rPr>
          <w:b/>
        </w:rPr>
      </w:pPr>
    </w:p>
    <w:p w14:paraId="3472FC4C" w14:textId="77777777" w:rsidR="003F10B0" w:rsidRPr="00AA7B19" w:rsidRDefault="003F10B0" w:rsidP="00E46A75">
      <w:pPr>
        <w:spacing w:after="0" w:line="240" w:lineRule="auto"/>
        <w:jc w:val="both"/>
        <w:rPr>
          <w:i/>
        </w:rPr>
      </w:pPr>
      <w:r w:rsidRPr="00AA7B19">
        <w:rPr>
          <w:i/>
        </w:rPr>
        <w:t>Listed Investments</w:t>
      </w:r>
    </w:p>
    <w:p w14:paraId="3A45B777" w14:textId="585FEA60" w:rsidR="003F10B0" w:rsidRPr="00AA7B19" w:rsidRDefault="003F10B0" w:rsidP="00E46A75">
      <w:pPr>
        <w:spacing w:after="0" w:line="240" w:lineRule="auto"/>
        <w:jc w:val="both"/>
      </w:pPr>
      <w:r w:rsidRPr="00AA7B19">
        <w:t xml:space="preserve">Listed investments are valued at </w:t>
      </w:r>
      <w:r w:rsidR="00524FF6">
        <w:t>mid-market</w:t>
      </w:r>
      <w:r w:rsidRPr="00AA7B19">
        <w:t xml:space="preserve"> values at the close of business on an accounting date less, in the case of fixed interest securities, interest accrued.   </w:t>
      </w:r>
    </w:p>
    <w:p w14:paraId="1F9C317D" w14:textId="77777777" w:rsidR="003F10B0" w:rsidRPr="00AA7B19" w:rsidRDefault="003F10B0" w:rsidP="00E46A75">
      <w:pPr>
        <w:spacing w:after="0" w:line="240" w:lineRule="auto"/>
        <w:jc w:val="both"/>
      </w:pPr>
    </w:p>
    <w:p w14:paraId="46235968" w14:textId="77777777" w:rsidR="003F10B0" w:rsidRPr="00AA7B19" w:rsidRDefault="003F10B0" w:rsidP="00E46A75">
      <w:pPr>
        <w:spacing w:after="0" w:line="240" w:lineRule="auto"/>
        <w:jc w:val="both"/>
        <w:rPr>
          <w:i/>
        </w:rPr>
      </w:pPr>
      <w:r w:rsidRPr="00AA7B19">
        <w:rPr>
          <w:i/>
        </w:rPr>
        <w:t>Unitised funds</w:t>
      </w:r>
    </w:p>
    <w:p w14:paraId="5529D22E" w14:textId="77777777" w:rsidR="003F10B0" w:rsidRPr="00AA7B19" w:rsidRDefault="003F10B0" w:rsidP="00E46A75">
      <w:pPr>
        <w:spacing w:after="0" w:line="240" w:lineRule="auto"/>
        <w:jc w:val="both"/>
      </w:pPr>
      <w:r w:rsidRPr="00AA7B19">
        <w:t xml:space="preserve">Single priced funds </w:t>
      </w:r>
      <w:r>
        <w:t>are valued at the single price</w:t>
      </w:r>
      <w:r w:rsidRPr="00AA7B19">
        <w:t xml:space="preserve"> quoted.  </w:t>
      </w:r>
      <w:r w:rsidR="00B208F9">
        <w:t xml:space="preserve">Funds with a bid and offer spread will be valued at </w:t>
      </w:r>
      <w:r w:rsidR="004F7339">
        <w:t xml:space="preserve">their </w:t>
      </w:r>
      <w:r w:rsidR="00B208F9">
        <w:t>mid-price.</w:t>
      </w:r>
    </w:p>
    <w:p w14:paraId="40712207" w14:textId="77777777" w:rsidR="003F10B0" w:rsidRPr="00AA7B19" w:rsidRDefault="003F10B0" w:rsidP="00E46A75">
      <w:pPr>
        <w:spacing w:after="0" w:line="240" w:lineRule="auto"/>
        <w:jc w:val="both"/>
        <w:rPr>
          <w:i/>
        </w:rPr>
      </w:pPr>
    </w:p>
    <w:p w14:paraId="4F332EEC" w14:textId="77777777" w:rsidR="003F10B0" w:rsidRPr="00AA7B19" w:rsidRDefault="003F10B0" w:rsidP="00E46A75">
      <w:pPr>
        <w:jc w:val="both"/>
        <w:rPr>
          <w:i/>
        </w:rPr>
      </w:pPr>
      <w:r w:rsidRPr="00AA7B19">
        <w:rPr>
          <w:i/>
        </w:rPr>
        <w:t>Non-Sterling balances and transactions</w:t>
      </w:r>
    </w:p>
    <w:p w14:paraId="799BFF67" w14:textId="77777777" w:rsidR="003F10B0" w:rsidRDefault="003F10B0" w:rsidP="00E46A75">
      <w:pPr>
        <w:tabs>
          <w:tab w:val="left" w:pos="567"/>
          <w:tab w:val="left" w:pos="1134"/>
        </w:tabs>
        <w:spacing w:after="0" w:line="240" w:lineRule="auto"/>
        <w:jc w:val="both"/>
        <w:rPr>
          <w:rFonts w:eastAsia="Times New Roman" w:cs="Times New Roman"/>
        </w:rPr>
      </w:pPr>
      <w:r w:rsidRPr="00AA7B19">
        <w:rPr>
          <w:rFonts w:eastAsia="Times New Roman" w:cs="Times New Roman"/>
        </w:rPr>
        <w:t xml:space="preserve">Assets and liabilities in foreign currencies are expressed in sterling at rates of exchange ruling on the accounting date.  Transactions in foreign currencies are translated into sterling at the exchange rates </w:t>
      </w:r>
      <w:r>
        <w:rPr>
          <w:rFonts w:eastAsia="Times New Roman" w:cs="Times New Roman"/>
        </w:rPr>
        <w:t>ruling on the transaction dates</w:t>
      </w:r>
    </w:p>
    <w:p w14:paraId="70A2134B" w14:textId="77777777" w:rsidR="003F10B0" w:rsidRDefault="003F10B0" w:rsidP="00E46A75">
      <w:pPr>
        <w:tabs>
          <w:tab w:val="left" w:pos="567"/>
          <w:tab w:val="left" w:pos="1134"/>
        </w:tabs>
        <w:spacing w:after="0" w:line="240" w:lineRule="auto"/>
        <w:jc w:val="both"/>
        <w:rPr>
          <w:rFonts w:eastAsia="Times New Roman" w:cs="Times New Roman"/>
        </w:rPr>
      </w:pPr>
    </w:p>
    <w:p w14:paraId="14CB0E46" w14:textId="77777777" w:rsidR="003F10B0" w:rsidRDefault="003F10B0" w:rsidP="00E46A75">
      <w:pPr>
        <w:tabs>
          <w:tab w:val="left" w:pos="567"/>
          <w:tab w:val="left" w:pos="1134"/>
        </w:tabs>
        <w:spacing w:after="0" w:line="240" w:lineRule="auto"/>
        <w:jc w:val="both"/>
        <w:rPr>
          <w:rFonts w:eastAsia="Times New Roman" w:cs="Times New Roman"/>
          <w:i/>
        </w:rPr>
      </w:pPr>
      <w:r w:rsidRPr="00AA7B19">
        <w:rPr>
          <w:rFonts w:eastAsia="Times New Roman" w:cs="Times New Roman"/>
          <w:i/>
        </w:rPr>
        <w:t>Other assets</w:t>
      </w:r>
      <w:r>
        <w:rPr>
          <w:rFonts w:eastAsia="Times New Roman" w:cs="Times New Roman"/>
          <w:i/>
        </w:rPr>
        <w:t xml:space="preserve"> &amp; liabilities</w:t>
      </w:r>
    </w:p>
    <w:p w14:paraId="4CEF47CE" w14:textId="77777777" w:rsidR="003F10B0" w:rsidRDefault="003F10B0" w:rsidP="00E46A75">
      <w:pPr>
        <w:tabs>
          <w:tab w:val="left" w:pos="567"/>
          <w:tab w:val="left" w:pos="1134"/>
        </w:tabs>
        <w:spacing w:after="0" w:line="240" w:lineRule="auto"/>
        <w:jc w:val="both"/>
      </w:pPr>
      <w:r w:rsidRPr="00AA7B19">
        <w:t xml:space="preserve">Other financial assets and liabilities of the Funds are included in the balance sheet at their fair value.  </w:t>
      </w:r>
    </w:p>
    <w:p w14:paraId="12A28267" w14:textId="77777777" w:rsidR="00E76EDC" w:rsidRDefault="00E76EDC" w:rsidP="00E46A75">
      <w:pPr>
        <w:tabs>
          <w:tab w:val="left" w:pos="567"/>
          <w:tab w:val="left" w:pos="1134"/>
        </w:tabs>
        <w:spacing w:after="0" w:line="240" w:lineRule="auto"/>
        <w:jc w:val="both"/>
        <w:rPr>
          <w:i/>
        </w:rPr>
      </w:pPr>
    </w:p>
    <w:p w14:paraId="7F7177B7" w14:textId="77777777" w:rsidR="00E76EDC" w:rsidRDefault="00E76EDC" w:rsidP="00E46A75">
      <w:pPr>
        <w:tabs>
          <w:tab w:val="left" w:pos="567"/>
          <w:tab w:val="left" w:pos="1134"/>
        </w:tabs>
        <w:spacing w:after="0" w:line="240" w:lineRule="auto"/>
        <w:jc w:val="both"/>
        <w:rPr>
          <w:i/>
        </w:rPr>
      </w:pPr>
      <w:r w:rsidRPr="00E76EDC">
        <w:rPr>
          <w:i/>
        </w:rPr>
        <w:t>Fair value pricing</w:t>
      </w:r>
    </w:p>
    <w:p w14:paraId="3F0AA091" w14:textId="77777777" w:rsidR="00E76EDC" w:rsidRPr="00BF6FAB" w:rsidRDefault="00E76EDC" w:rsidP="00E46A75">
      <w:pPr>
        <w:pStyle w:val="Epworth-Level2"/>
        <w:numPr>
          <w:ilvl w:val="0"/>
          <w:numId w:val="0"/>
        </w:numPr>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The CFB will itself value investments at a price which, in its opinion, reflects a fair and reasonable price for that investment (the fair value price) where:</w:t>
      </w:r>
    </w:p>
    <w:p w14:paraId="15BEA289" w14:textId="77777777" w:rsidR="00E76EDC" w:rsidRPr="00BF6FAB" w:rsidRDefault="00E76EDC" w:rsidP="00E46A75">
      <w:pPr>
        <w:pStyle w:val="Epworth-Level3"/>
        <w:numPr>
          <w:ilvl w:val="1"/>
          <w:numId w:val="20"/>
        </w:numPr>
        <w:spacing w:before="240" w:after="240"/>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it has reasonable grounds to believe that no reliable price exists for a security (including a unit/share in a collective investment scheme) at a Valuation Point; or</w:t>
      </w:r>
    </w:p>
    <w:p w14:paraId="4D6E1CAA" w14:textId="77777777" w:rsidR="00E76EDC" w:rsidRPr="00BF6FAB" w:rsidRDefault="00E76EDC" w:rsidP="00E46A75">
      <w:pPr>
        <w:pStyle w:val="Epworth-Level3"/>
        <w:numPr>
          <w:ilvl w:val="1"/>
          <w:numId w:val="20"/>
        </w:numPr>
        <w:spacing w:before="240" w:after="240"/>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the most recent price available does not reflect CFB’s best estimate of the value of the security (including a unit/share in a collective investment scheme) at the Valuation Point.</w:t>
      </w:r>
    </w:p>
    <w:p w14:paraId="144E76C2" w14:textId="77777777" w:rsidR="00E76EDC" w:rsidRPr="00BF6FAB" w:rsidRDefault="00E76EDC" w:rsidP="00E46A75">
      <w:pPr>
        <w:pStyle w:val="Epworth-Level2"/>
        <w:numPr>
          <w:ilvl w:val="0"/>
          <w:numId w:val="0"/>
        </w:numPr>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The circumstances which may give rise to a fair value price being used include:</w:t>
      </w:r>
    </w:p>
    <w:p w14:paraId="212EB184" w14:textId="77777777" w:rsidR="00E76EDC" w:rsidRPr="00BF6FAB" w:rsidRDefault="00E76EDC" w:rsidP="00E46A75">
      <w:pPr>
        <w:pStyle w:val="Epworth-Level3"/>
        <w:numPr>
          <w:ilvl w:val="1"/>
          <w:numId w:val="23"/>
        </w:numPr>
        <w:spacing w:before="240" w:after="240"/>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 xml:space="preserve">no recent trade in the security </w:t>
      </w:r>
      <w:proofErr w:type="gramStart"/>
      <w:r w:rsidRPr="00BF6FAB">
        <w:rPr>
          <w:rFonts w:asciiTheme="minorHAnsi" w:hAnsiTheme="minorHAnsi"/>
          <w:color w:val="000000" w:themeColor="text1"/>
          <w:sz w:val="22"/>
          <w:szCs w:val="22"/>
        </w:rPr>
        <w:t>concerned;</w:t>
      </w:r>
      <w:proofErr w:type="gramEnd"/>
      <w:r w:rsidRPr="00BF6FAB">
        <w:rPr>
          <w:rFonts w:asciiTheme="minorHAnsi" w:hAnsiTheme="minorHAnsi"/>
          <w:color w:val="000000" w:themeColor="text1"/>
          <w:sz w:val="22"/>
          <w:szCs w:val="22"/>
        </w:rPr>
        <w:t xml:space="preserve"> </w:t>
      </w:r>
    </w:p>
    <w:p w14:paraId="175CE1E8" w14:textId="77777777" w:rsidR="00E76EDC" w:rsidRPr="00BF6FAB" w:rsidRDefault="00E76EDC" w:rsidP="00E46A75">
      <w:pPr>
        <w:pStyle w:val="Epworth-Level3"/>
        <w:numPr>
          <w:ilvl w:val="1"/>
          <w:numId w:val="23"/>
        </w:numPr>
        <w:spacing w:before="240" w:after="240"/>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lastRenderedPageBreak/>
        <w:t>suspension of dealings in an underlying collective investment scheme; or</w:t>
      </w:r>
    </w:p>
    <w:p w14:paraId="615349A9" w14:textId="77777777" w:rsidR="00E76EDC" w:rsidRPr="00BF6FAB" w:rsidRDefault="00E76EDC" w:rsidP="00E46A75">
      <w:pPr>
        <w:pStyle w:val="Epworth-Level3"/>
        <w:numPr>
          <w:ilvl w:val="1"/>
          <w:numId w:val="23"/>
        </w:numPr>
        <w:spacing w:before="240" w:after="240"/>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the occurrence of a significant event since the most recent closure of the market where the price of the security is taken.</w:t>
      </w:r>
    </w:p>
    <w:p w14:paraId="533DC411" w14:textId="77777777" w:rsidR="00E76EDC" w:rsidRPr="00BF6FAB" w:rsidRDefault="00E76EDC" w:rsidP="00E46A75">
      <w:pPr>
        <w:pStyle w:val="Epworth-Level2"/>
        <w:numPr>
          <w:ilvl w:val="0"/>
          <w:numId w:val="0"/>
        </w:numPr>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In determining whether to use a fair value price, the Authorised Fund Manager will include in its consideration but need not be limited to:</w:t>
      </w:r>
    </w:p>
    <w:p w14:paraId="03979AB1" w14:textId="77777777" w:rsidR="00E76EDC" w:rsidRPr="00BF6FAB" w:rsidRDefault="00E76EDC" w:rsidP="00E46A75">
      <w:pPr>
        <w:pStyle w:val="Epworth-Level3"/>
        <w:numPr>
          <w:ilvl w:val="1"/>
          <w:numId w:val="26"/>
        </w:numPr>
        <w:spacing w:before="240" w:after="240"/>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 xml:space="preserve">the type of authorised fund </w:t>
      </w:r>
      <w:proofErr w:type="gramStart"/>
      <w:r w:rsidRPr="00BF6FAB">
        <w:rPr>
          <w:rFonts w:asciiTheme="minorHAnsi" w:hAnsiTheme="minorHAnsi"/>
          <w:color w:val="000000" w:themeColor="text1"/>
          <w:sz w:val="22"/>
          <w:szCs w:val="22"/>
        </w:rPr>
        <w:t>concerned;</w:t>
      </w:r>
      <w:proofErr w:type="gramEnd"/>
    </w:p>
    <w:p w14:paraId="6A163BF5" w14:textId="77777777" w:rsidR="00E76EDC" w:rsidRPr="00BF6FAB" w:rsidRDefault="00E76EDC" w:rsidP="00E46A75">
      <w:pPr>
        <w:pStyle w:val="Epworth-Level3"/>
        <w:numPr>
          <w:ilvl w:val="1"/>
          <w:numId w:val="26"/>
        </w:numPr>
        <w:spacing w:before="240" w:after="240"/>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 xml:space="preserve">the securities </w:t>
      </w:r>
      <w:proofErr w:type="gramStart"/>
      <w:r w:rsidRPr="00BF6FAB">
        <w:rPr>
          <w:rFonts w:asciiTheme="minorHAnsi" w:hAnsiTheme="minorHAnsi"/>
          <w:color w:val="000000" w:themeColor="text1"/>
          <w:sz w:val="22"/>
          <w:szCs w:val="22"/>
        </w:rPr>
        <w:t>involved;</w:t>
      </w:r>
      <w:proofErr w:type="gramEnd"/>
    </w:p>
    <w:p w14:paraId="72072707" w14:textId="77777777" w:rsidR="00E76EDC" w:rsidRPr="00BF6FAB" w:rsidRDefault="00E76EDC" w:rsidP="00E46A75">
      <w:pPr>
        <w:pStyle w:val="Epworth-Level3"/>
        <w:numPr>
          <w:ilvl w:val="1"/>
          <w:numId w:val="26"/>
        </w:numPr>
        <w:spacing w:before="240" w:after="240"/>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whether the underlying collective investment schemes may already have applied fair value pricing and/or</w:t>
      </w:r>
    </w:p>
    <w:p w14:paraId="17712F82" w14:textId="77777777" w:rsidR="00E76EDC" w:rsidRPr="00BF6FAB" w:rsidRDefault="00E76EDC" w:rsidP="00E46A75">
      <w:pPr>
        <w:pStyle w:val="Epworth-Level3"/>
        <w:numPr>
          <w:ilvl w:val="1"/>
          <w:numId w:val="26"/>
        </w:numPr>
        <w:spacing w:before="240" w:after="240"/>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the basis and reliability</w:t>
      </w:r>
      <w:r w:rsidR="00353B12" w:rsidRPr="00BF6FAB">
        <w:rPr>
          <w:rFonts w:asciiTheme="minorHAnsi" w:hAnsiTheme="minorHAnsi"/>
          <w:color w:val="000000" w:themeColor="text1"/>
          <w:sz w:val="22"/>
          <w:szCs w:val="22"/>
        </w:rPr>
        <w:t xml:space="preserve"> of the alternative price used</w:t>
      </w:r>
    </w:p>
    <w:p w14:paraId="6C383A5B" w14:textId="77777777" w:rsidR="009D5AEC" w:rsidRPr="00BF6FAB" w:rsidRDefault="009D5AEC" w:rsidP="00E46A75">
      <w:pPr>
        <w:pStyle w:val="ListParagraph"/>
        <w:numPr>
          <w:ilvl w:val="0"/>
          <w:numId w:val="2"/>
        </w:numPr>
        <w:spacing w:after="0" w:line="240" w:lineRule="auto"/>
        <w:contextualSpacing w:val="0"/>
        <w:jc w:val="both"/>
        <w:rPr>
          <w:b/>
        </w:rPr>
      </w:pPr>
      <w:r w:rsidRPr="00BF6FAB">
        <w:rPr>
          <w:b/>
        </w:rPr>
        <w:t>Unit pricing</w:t>
      </w:r>
      <w:r w:rsidR="00C20DF8" w:rsidRPr="00BF6FAB">
        <w:rPr>
          <w:b/>
        </w:rPr>
        <w:t>, valuation points and dealing days</w:t>
      </w:r>
    </w:p>
    <w:p w14:paraId="4423B4BD" w14:textId="77777777" w:rsidR="009D5AEC" w:rsidRPr="00BF6FAB" w:rsidRDefault="009D5AEC" w:rsidP="00E46A75">
      <w:pPr>
        <w:spacing w:after="0" w:line="240" w:lineRule="auto"/>
        <w:jc w:val="both"/>
        <w:rPr>
          <w:b/>
        </w:rPr>
      </w:pPr>
    </w:p>
    <w:p w14:paraId="28D97DEB" w14:textId="1C07E0F8" w:rsidR="009D5AEC" w:rsidRPr="00804707" w:rsidRDefault="009D5AEC" w:rsidP="007C4E76">
      <w:pPr>
        <w:spacing w:line="240" w:lineRule="auto"/>
        <w:jc w:val="both"/>
      </w:pPr>
      <w:r>
        <w:t xml:space="preserve">The units, which are single priced, </w:t>
      </w:r>
      <w:r w:rsidR="0065670D">
        <w:t>are priced on a forward basis</w:t>
      </w:r>
      <w:r>
        <w:t xml:space="preserve">. </w:t>
      </w:r>
      <w:proofErr w:type="gramStart"/>
      <w:r w:rsidR="00C20DF8">
        <w:t>With the exception of</w:t>
      </w:r>
      <w:proofErr w:type="gramEnd"/>
      <w:r w:rsidR="00C20DF8">
        <w:t xml:space="preserve"> the Deposit </w:t>
      </w:r>
      <w:r w:rsidR="004F2C78">
        <w:t>Fund,</w:t>
      </w:r>
      <w:r w:rsidR="00C20DF8">
        <w:t xml:space="preserve"> t</w:t>
      </w:r>
      <w:r>
        <w:t>he CFB Funds are valued and dealt 3 times a month on the following dates:</w:t>
      </w:r>
    </w:p>
    <w:p w14:paraId="3AC0703F" w14:textId="2F3D4039" w:rsidR="009D5AEC" w:rsidRPr="00B208F9" w:rsidRDefault="009D5AEC" w:rsidP="007C4E76">
      <w:pPr>
        <w:spacing w:line="240" w:lineRule="auto"/>
        <w:jc w:val="both"/>
      </w:pPr>
      <w:r w:rsidRPr="004F6E65">
        <w:rPr>
          <w:i/>
        </w:rPr>
        <w:t>Valuation</w:t>
      </w:r>
      <w:r w:rsidR="005D2CC1">
        <w:rPr>
          <w:i/>
        </w:rPr>
        <w:t xml:space="preserve"> and </w:t>
      </w:r>
      <w:proofErr w:type="gramStart"/>
      <w:r w:rsidR="005D2CC1">
        <w:rPr>
          <w:i/>
        </w:rPr>
        <w:t xml:space="preserve">dealing </w:t>
      </w:r>
      <w:r w:rsidRPr="004F6E65">
        <w:rPr>
          <w:i/>
        </w:rPr>
        <w:t xml:space="preserve"> points</w:t>
      </w:r>
      <w:proofErr w:type="gramEnd"/>
      <w:r w:rsidRPr="004F6E65">
        <w:rPr>
          <w:i/>
        </w:rPr>
        <w:t>:</w:t>
      </w:r>
      <w:r w:rsidRPr="00B208F9">
        <w:t xml:space="preserve"> 10</w:t>
      </w:r>
      <w:r w:rsidRPr="00B208F9">
        <w:rPr>
          <w:vertAlign w:val="superscript"/>
        </w:rPr>
        <w:t>th</w:t>
      </w:r>
      <w:r w:rsidRPr="00B208F9">
        <w:t>, 20</w:t>
      </w:r>
      <w:r w:rsidRPr="00B208F9">
        <w:rPr>
          <w:vertAlign w:val="superscript"/>
        </w:rPr>
        <w:t>th</w:t>
      </w:r>
      <w:r w:rsidRPr="00B208F9">
        <w:t>, last working day</w:t>
      </w:r>
      <w:r w:rsidR="004F6E65">
        <w:t xml:space="preserve"> of the month</w:t>
      </w:r>
    </w:p>
    <w:p w14:paraId="02E35BD1" w14:textId="56E48CF7" w:rsidR="009D5AEC" w:rsidRPr="00804707" w:rsidRDefault="009D5AEC" w:rsidP="007C4E76">
      <w:pPr>
        <w:spacing w:line="240" w:lineRule="auto"/>
        <w:jc w:val="both"/>
      </w:pPr>
      <w:r w:rsidRPr="00804707">
        <w:t xml:space="preserve">If the valuation point is a </w:t>
      </w:r>
      <w:r w:rsidR="004F2C78" w:rsidRPr="00804707">
        <w:t>non-working</w:t>
      </w:r>
      <w:r w:rsidRPr="00804707">
        <w:t xml:space="preserve"> day, the preceding working day is used. If the dealing day is a </w:t>
      </w:r>
      <w:r w:rsidR="004F2C78" w:rsidRPr="00804707">
        <w:t>non-working</w:t>
      </w:r>
      <w:r w:rsidRPr="00804707">
        <w:t xml:space="preserve"> day, the following working day is used.</w:t>
      </w:r>
    </w:p>
    <w:p w14:paraId="674623AF" w14:textId="77777777" w:rsidR="00804707" w:rsidRPr="00804707" w:rsidRDefault="00804707" w:rsidP="007C4E76">
      <w:pPr>
        <w:spacing w:line="240" w:lineRule="auto"/>
        <w:jc w:val="both"/>
        <w:rPr>
          <w:rFonts w:eastAsia="Times New Roman" w:cs="Times New Roman"/>
          <w:lang w:eastAsia="en-GB"/>
        </w:rPr>
      </w:pPr>
      <w:r w:rsidRPr="00804707">
        <w:rPr>
          <w:rFonts w:eastAsia="Times New Roman" w:cs="Times New Roman"/>
          <w:lang w:eastAsia="en-GB"/>
        </w:rPr>
        <w:t xml:space="preserve">At each valuation point the unit price is calculated by dividing the total assets of the fund by the number of units in issue.  Pricing is </w:t>
      </w:r>
      <w:r w:rsidRPr="00B208F9">
        <w:rPr>
          <w:rFonts w:eastAsia="Times New Roman" w:cs="Times New Roman"/>
          <w:lang w:eastAsia="en-GB"/>
        </w:rPr>
        <w:t>to four significant figures.</w:t>
      </w:r>
    </w:p>
    <w:p w14:paraId="08D3EAB7" w14:textId="77777777" w:rsidR="00804707" w:rsidRPr="00804707" w:rsidRDefault="00804707" w:rsidP="004F2C78">
      <w:pPr>
        <w:spacing w:after="0" w:line="240" w:lineRule="auto"/>
        <w:jc w:val="both"/>
        <w:rPr>
          <w:rFonts w:eastAsia="Times New Roman" w:cs="Times New Roman"/>
          <w:lang w:eastAsia="en-GB"/>
        </w:rPr>
      </w:pPr>
      <w:r w:rsidRPr="00804707">
        <w:rPr>
          <w:rFonts w:eastAsia="Times New Roman" w:cs="Times New Roman"/>
          <w:lang w:eastAsia="en-GB"/>
        </w:rPr>
        <w:t xml:space="preserve">If, </w:t>
      </w:r>
      <w:proofErr w:type="gramStart"/>
      <w:r w:rsidRPr="00804707">
        <w:rPr>
          <w:rFonts w:eastAsia="Times New Roman" w:cs="Times New Roman"/>
          <w:lang w:eastAsia="en-GB"/>
        </w:rPr>
        <w:t>subsequent to</w:t>
      </w:r>
      <w:proofErr w:type="gramEnd"/>
      <w:r w:rsidRPr="00804707">
        <w:rPr>
          <w:rFonts w:eastAsia="Times New Roman" w:cs="Times New Roman"/>
          <w:lang w:eastAsia="en-GB"/>
        </w:rPr>
        <w:t xml:space="preserve"> publication, the unit price calculation is found to be incorrect by </w:t>
      </w:r>
      <w:r w:rsidRPr="00B208F9">
        <w:rPr>
          <w:rFonts w:eastAsia="Times New Roman" w:cs="Times New Roman"/>
          <w:lang w:eastAsia="en-GB"/>
        </w:rPr>
        <w:t>more than 0.5%</w:t>
      </w:r>
      <w:r w:rsidRPr="00804707">
        <w:rPr>
          <w:rFonts w:eastAsia="Times New Roman" w:cs="Times New Roman"/>
          <w:lang w:eastAsia="en-GB"/>
        </w:rPr>
        <w:t xml:space="preserve"> due to either one incorrectly priced asset or an accumulation of incorrectly priced assets, the creations and cancellations will be corrected, new confirmations sent to the unit holders and compensation paid to sellers where appropriate.</w:t>
      </w:r>
    </w:p>
    <w:p w14:paraId="44E01571" w14:textId="77777777" w:rsidR="00804707" w:rsidRPr="00804707" w:rsidRDefault="00804707" w:rsidP="004F2C78">
      <w:pPr>
        <w:spacing w:after="0" w:line="240" w:lineRule="auto"/>
        <w:jc w:val="both"/>
        <w:rPr>
          <w:rFonts w:eastAsia="Times New Roman" w:cs="Times New Roman"/>
          <w:lang w:eastAsia="en-GB"/>
        </w:rPr>
      </w:pPr>
    </w:p>
    <w:p w14:paraId="63A37B45" w14:textId="77777777" w:rsidR="009D5AEC" w:rsidRDefault="00804707" w:rsidP="004F2C78">
      <w:pPr>
        <w:spacing w:after="0" w:line="240" w:lineRule="auto"/>
        <w:jc w:val="both"/>
        <w:rPr>
          <w:rFonts w:eastAsia="Times New Roman" w:cs="Times New Roman"/>
          <w:lang w:eastAsia="en-GB"/>
        </w:rPr>
      </w:pPr>
      <w:r w:rsidRPr="00804707">
        <w:rPr>
          <w:rFonts w:eastAsia="Times New Roman" w:cs="Times New Roman"/>
          <w:lang w:eastAsia="en-GB"/>
        </w:rPr>
        <w:t xml:space="preserve">If the unit price is incorrect by less than 0.5% no further action will be taken. </w:t>
      </w:r>
    </w:p>
    <w:p w14:paraId="11BD0380" w14:textId="77777777" w:rsidR="00353B12" w:rsidRDefault="00353B12" w:rsidP="004F2C78">
      <w:pPr>
        <w:spacing w:after="0" w:line="240" w:lineRule="auto"/>
        <w:jc w:val="both"/>
        <w:rPr>
          <w:rFonts w:eastAsia="Times New Roman" w:cs="Times New Roman"/>
          <w:lang w:eastAsia="en-GB"/>
        </w:rPr>
      </w:pPr>
    </w:p>
    <w:p w14:paraId="1B3BFB87" w14:textId="77777777" w:rsidR="009D5AEC" w:rsidRDefault="00353B12" w:rsidP="004F2C78">
      <w:pPr>
        <w:pStyle w:val="Epworth-Level2"/>
        <w:numPr>
          <w:ilvl w:val="0"/>
          <w:numId w:val="0"/>
        </w:numPr>
        <w:jc w:val="both"/>
        <w:rPr>
          <w:rFonts w:asciiTheme="minorHAnsi" w:hAnsiTheme="minorHAnsi"/>
          <w:color w:val="000000" w:themeColor="text1"/>
          <w:sz w:val="22"/>
          <w:szCs w:val="22"/>
        </w:rPr>
      </w:pPr>
      <w:r w:rsidRPr="00BF6FAB">
        <w:rPr>
          <w:rFonts w:asciiTheme="minorHAnsi" w:hAnsiTheme="minorHAnsi"/>
          <w:color w:val="000000" w:themeColor="text1"/>
          <w:sz w:val="22"/>
          <w:szCs w:val="22"/>
        </w:rPr>
        <w:t>The CFB can instruct an additional valuation if it thinks that would be desirable and can use the price at that additional valuation as the price for that Dealing Day.</w:t>
      </w:r>
      <w:r w:rsidRPr="00353B12">
        <w:rPr>
          <w:rFonts w:asciiTheme="minorHAnsi" w:hAnsiTheme="minorHAnsi"/>
          <w:color w:val="000000" w:themeColor="text1"/>
          <w:sz w:val="22"/>
          <w:szCs w:val="22"/>
        </w:rPr>
        <w:t xml:space="preserve"> </w:t>
      </w:r>
    </w:p>
    <w:p w14:paraId="672D1C18" w14:textId="15242882" w:rsidR="00CC496B" w:rsidRPr="00CC496B" w:rsidRDefault="00A6368E" w:rsidP="004F2C78">
      <w:pPr>
        <w:pStyle w:val="Epworth-Level2"/>
        <w:numPr>
          <w:ilvl w:val="0"/>
          <w:numId w:val="0"/>
        </w:numPr>
        <w:jc w:val="both"/>
        <w:rPr>
          <w:rFonts w:asciiTheme="minorHAnsi" w:hAnsiTheme="minorHAnsi"/>
          <w:i/>
          <w:color w:val="000000" w:themeColor="text1"/>
          <w:sz w:val="22"/>
          <w:szCs w:val="22"/>
        </w:rPr>
      </w:pPr>
      <w:r>
        <w:rPr>
          <w:rFonts w:asciiTheme="minorHAnsi" w:hAnsiTheme="minorHAnsi"/>
          <w:i/>
          <w:color w:val="000000" w:themeColor="text1"/>
          <w:sz w:val="22"/>
          <w:szCs w:val="22"/>
        </w:rPr>
        <w:t xml:space="preserve">CFB </w:t>
      </w:r>
      <w:r w:rsidR="00CC496B" w:rsidRPr="00CC496B">
        <w:rPr>
          <w:rFonts w:asciiTheme="minorHAnsi" w:hAnsiTheme="minorHAnsi"/>
          <w:i/>
          <w:color w:val="000000" w:themeColor="text1"/>
          <w:sz w:val="22"/>
          <w:szCs w:val="22"/>
        </w:rPr>
        <w:t>Deposit Fund</w:t>
      </w:r>
    </w:p>
    <w:p w14:paraId="489BAB72" w14:textId="77777777" w:rsidR="004F6E65" w:rsidRDefault="004F6E65" w:rsidP="004F2C78">
      <w:pPr>
        <w:pStyle w:val="Epworth-Level2"/>
        <w:numPr>
          <w:ilvl w:val="0"/>
          <w:numId w:val="0"/>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The CFB Deposit Fund deals </w:t>
      </w:r>
      <w:proofErr w:type="gramStart"/>
      <w:r>
        <w:rPr>
          <w:rFonts w:asciiTheme="minorHAnsi" w:hAnsiTheme="minorHAnsi"/>
          <w:color w:val="000000" w:themeColor="text1"/>
          <w:sz w:val="22"/>
          <w:szCs w:val="22"/>
        </w:rPr>
        <w:t>on a daily basis</w:t>
      </w:r>
      <w:proofErr w:type="gramEnd"/>
      <w:r>
        <w:rPr>
          <w:rFonts w:asciiTheme="minorHAnsi" w:hAnsiTheme="minorHAnsi"/>
          <w:color w:val="000000" w:themeColor="text1"/>
          <w:sz w:val="22"/>
          <w:szCs w:val="22"/>
        </w:rPr>
        <w:t>.</w:t>
      </w:r>
    </w:p>
    <w:p w14:paraId="7039EF44" w14:textId="77777777" w:rsidR="002D1F7A" w:rsidRPr="00BF6FAB" w:rsidRDefault="002D1F7A" w:rsidP="004F2C78">
      <w:pPr>
        <w:pStyle w:val="Epworth-Level2"/>
        <w:numPr>
          <w:ilvl w:val="0"/>
          <w:numId w:val="2"/>
        </w:numPr>
        <w:jc w:val="both"/>
        <w:rPr>
          <w:rFonts w:asciiTheme="minorHAnsi" w:hAnsiTheme="minorHAnsi"/>
          <w:b/>
          <w:color w:val="auto"/>
          <w:sz w:val="22"/>
          <w:szCs w:val="22"/>
        </w:rPr>
      </w:pPr>
      <w:r w:rsidRPr="00BF6FAB">
        <w:rPr>
          <w:rFonts w:asciiTheme="minorHAnsi" w:hAnsiTheme="minorHAnsi"/>
          <w:b/>
          <w:color w:val="auto"/>
          <w:sz w:val="22"/>
          <w:szCs w:val="22"/>
        </w:rPr>
        <w:t>The CFB’s right to defer sales</w:t>
      </w:r>
    </w:p>
    <w:p w14:paraId="799CFDE8" w14:textId="77777777" w:rsidR="00CC496B" w:rsidRDefault="00932DD3" w:rsidP="004F2C78">
      <w:pPr>
        <w:spacing w:after="0" w:line="240" w:lineRule="auto"/>
        <w:jc w:val="both"/>
      </w:pPr>
      <w:r w:rsidRPr="00BF6FAB">
        <w:t xml:space="preserve">The </w:t>
      </w:r>
      <w:r w:rsidR="004B3C65" w:rsidRPr="00BF6FAB">
        <w:rPr>
          <w:color w:val="000000" w:themeColor="text1"/>
        </w:rPr>
        <w:t>CFB</w:t>
      </w:r>
      <w:r w:rsidRPr="00BF6FAB">
        <w:rPr>
          <w:color w:val="000000" w:themeColor="text1"/>
        </w:rPr>
        <w:t xml:space="preserve"> may defer a Unitholder’s request to sell their Units at a Valuation </w:t>
      </w:r>
      <w:r w:rsidR="00EA3318" w:rsidRPr="00BF6FAB">
        <w:t>Po</w:t>
      </w:r>
      <w:r w:rsidRPr="00BF6FAB">
        <w:t>int</w:t>
      </w:r>
      <w:r w:rsidRPr="00BF6FAB">
        <w:rPr>
          <w:color w:val="000000" w:themeColor="text1"/>
        </w:rPr>
        <w:t xml:space="preserve"> to the next Valuation Point if the total requests for redemptions represent a value exceeding 10% of the Sub-fund’s value.  </w:t>
      </w:r>
      <w:r w:rsidRPr="00BF6FAB">
        <w:t xml:space="preserve"> </w:t>
      </w:r>
      <w:r w:rsidR="002D1F7A" w:rsidRPr="00BF6FAB">
        <w:t xml:space="preserve">Where the deferred sale policy is in effect, the </w:t>
      </w:r>
      <w:r w:rsidR="004B3C65" w:rsidRPr="00BF6FAB">
        <w:t>CFB</w:t>
      </w:r>
      <w:r w:rsidR="002D1F7A" w:rsidRPr="00BF6FAB">
        <w:t xml:space="preserve"> will defer all Unitholder sales requests for a particular Valuation Point to the next Valuation Point.  Requests to sell Units can continue to be deferred in this way over multiple Valuation Points.  The </w:t>
      </w:r>
      <w:r w:rsidR="004B3C65" w:rsidRPr="00BF6FAB">
        <w:t>CFB</w:t>
      </w:r>
      <w:r w:rsidR="002D1F7A" w:rsidRPr="00BF6FAB">
        <w:t xml:space="preserve"> will ensure that all requests to sell Units relating to an earlier Valuation Point are completed before those relating to a later Valuation Point are considered.</w:t>
      </w:r>
    </w:p>
    <w:p w14:paraId="16C5B760" w14:textId="77777777" w:rsidR="00015844" w:rsidRDefault="00015844" w:rsidP="000153B7">
      <w:pPr>
        <w:pStyle w:val="ListParagraph"/>
        <w:spacing w:after="0" w:line="240" w:lineRule="auto"/>
        <w:ind w:left="786"/>
        <w:contextualSpacing w:val="0"/>
        <w:jc w:val="both"/>
        <w:rPr>
          <w:b/>
        </w:rPr>
      </w:pPr>
    </w:p>
    <w:p w14:paraId="3A18AEB9" w14:textId="77777777" w:rsidR="00353B12" w:rsidRDefault="00353B12" w:rsidP="00E46A75">
      <w:pPr>
        <w:pStyle w:val="ListParagraph"/>
        <w:numPr>
          <w:ilvl w:val="0"/>
          <w:numId w:val="2"/>
        </w:numPr>
        <w:spacing w:after="0" w:line="240" w:lineRule="auto"/>
        <w:contextualSpacing w:val="0"/>
        <w:jc w:val="both"/>
        <w:rPr>
          <w:b/>
        </w:rPr>
      </w:pPr>
      <w:r>
        <w:rPr>
          <w:b/>
        </w:rPr>
        <w:t>Suspension of dealing</w:t>
      </w:r>
    </w:p>
    <w:p w14:paraId="5FF3C8AB" w14:textId="77777777" w:rsidR="002D1F7A" w:rsidRDefault="002D1F7A" w:rsidP="00E46A75">
      <w:pPr>
        <w:pStyle w:val="ListParagraph"/>
        <w:spacing w:after="0" w:line="240" w:lineRule="auto"/>
        <w:ind w:left="786"/>
        <w:contextualSpacing w:val="0"/>
        <w:jc w:val="both"/>
        <w:rPr>
          <w:b/>
        </w:rPr>
      </w:pPr>
    </w:p>
    <w:p w14:paraId="266643AE" w14:textId="77777777" w:rsidR="00353B12" w:rsidRPr="00CC496B" w:rsidRDefault="00353B12" w:rsidP="00553880">
      <w:pPr>
        <w:pStyle w:val="Epworth-Level2"/>
        <w:numPr>
          <w:ilvl w:val="0"/>
          <w:numId w:val="0"/>
        </w:numPr>
        <w:jc w:val="both"/>
        <w:rPr>
          <w:rFonts w:asciiTheme="minorHAnsi" w:hAnsiTheme="minorHAnsi"/>
          <w:color w:val="000000" w:themeColor="text1"/>
          <w:sz w:val="22"/>
          <w:szCs w:val="22"/>
        </w:rPr>
      </w:pPr>
      <w:r w:rsidRPr="00CC496B">
        <w:rPr>
          <w:rFonts w:asciiTheme="minorHAnsi" w:hAnsiTheme="minorHAnsi"/>
          <w:color w:val="000000" w:themeColor="text1"/>
          <w:sz w:val="22"/>
          <w:szCs w:val="22"/>
        </w:rPr>
        <w:t xml:space="preserve">The CFB may temporarily suspend the issue, cancellation, sale and purchase of Units in any or </w:t>
      </w:r>
      <w:proofErr w:type="gramStart"/>
      <w:r w:rsidRPr="00CC496B">
        <w:rPr>
          <w:rFonts w:asciiTheme="minorHAnsi" w:hAnsiTheme="minorHAnsi"/>
          <w:color w:val="000000" w:themeColor="text1"/>
          <w:sz w:val="22"/>
          <w:szCs w:val="22"/>
        </w:rPr>
        <w:t>all of</w:t>
      </w:r>
      <w:proofErr w:type="gramEnd"/>
      <w:r w:rsidRPr="00CC496B">
        <w:rPr>
          <w:rFonts w:asciiTheme="minorHAnsi" w:hAnsiTheme="minorHAnsi"/>
          <w:color w:val="000000" w:themeColor="text1"/>
          <w:sz w:val="22"/>
          <w:szCs w:val="22"/>
        </w:rPr>
        <w:t xml:space="preserve"> the Funds where, due to exceptional circumstances, it is in the interests of all the Unitholders in the relevant Fund or Funds. </w:t>
      </w:r>
    </w:p>
    <w:p w14:paraId="3C3F31D8" w14:textId="77777777" w:rsidR="00353B12" w:rsidRPr="00CC496B" w:rsidRDefault="00353B12" w:rsidP="00553880">
      <w:pPr>
        <w:pStyle w:val="Epworth-Level2"/>
        <w:numPr>
          <w:ilvl w:val="0"/>
          <w:numId w:val="0"/>
        </w:numPr>
        <w:jc w:val="both"/>
        <w:rPr>
          <w:rFonts w:asciiTheme="minorHAnsi" w:hAnsiTheme="minorHAnsi"/>
          <w:color w:val="000000" w:themeColor="text1"/>
          <w:sz w:val="22"/>
          <w:szCs w:val="22"/>
        </w:rPr>
      </w:pPr>
      <w:r w:rsidRPr="00CC496B">
        <w:rPr>
          <w:rFonts w:asciiTheme="minorHAnsi" w:hAnsiTheme="minorHAnsi"/>
          <w:color w:val="000000" w:themeColor="text1"/>
          <w:sz w:val="22"/>
          <w:szCs w:val="22"/>
        </w:rPr>
        <w:t>The suspension will only continue for as long as is justified having regard to the interests of Unitholders.</w:t>
      </w:r>
    </w:p>
    <w:p w14:paraId="5F67F7D2" w14:textId="77777777" w:rsidR="00353B12" w:rsidRPr="00CC496B" w:rsidRDefault="00353B12" w:rsidP="00553880">
      <w:pPr>
        <w:pStyle w:val="Epworth-Level2"/>
        <w:numPr>
          <w:ilvl w:val="0"/>
          <w:numId w:val="0"/>
        </w:numPr>
        <w:jc w:val="both"/>
        <w:rPr>
          <w:rFonts w:asciiTheme="minorHAnsi" w:hAnsiTheme="minorHAnsi"/>
          <w:color w:val="000000" w:themeColor="text1"/>
          <w:sz w:val="22"/>
          <w:szCs w:val="22"/>
        </w:rPr>
      </w:pPr>
      <w:r w:rsidRPr="00CC496B">
        <w:rPr>
          <w:rFonts w:asciiTheme="minorHAnsi" w:hAnsiTheme="minorHAnsi"/>
          <w:color w:val="000000" w:themeColor="text1"/>
          <w:sz w:val="22"/>
          <w:szCs w:val="22"/>
        </w:rPr>
        <w:t>The CFB will notify Unitholders as soon as is practicable after the commencement of the suspension, including details of the exceptional circumstances which have led to the suspension, in a clear, fair and not misleading way.</w:t>
      </w:r>
    </w:p>
    <w:p w14:paraId="329B10A7" w14:textId="77777777" w:rsidR="00353B12" w:rsidRPr="002D1F7A" w:rsidRDefault="00353B12" w:rsidP="00553880">
      <w:pPr>
        <w:pStyle w:val="Epworth-Level2"/>
        <w:numPr>
          <w:ilvl w:val="0"/>
          <w:numId w:val="0"/>
        </w:numPr>
        <w:jc w:val="both"/>
        <w:rPr>
          <w:rFonts w:asciiTheme="minorHAnsi" w:hAnsiTheme="minorHAnsi"/>
          <w:color w:val="000000" w:themeColor="text1"/>
          <w:sz w:val="22"/>
          <w:szCs w:val="22"/>
        </w:rPr>
      </w:pPr>
      <w:r w:rsidRPr="00CC496B">
        <w:rPr>
          <w:rFonts w:asciiTheme="minorHAnsi" w:hAnsiTheme="minorHAnsi"/>
          <w:color w:val="000000" w:themeColor="text1"/>
          <w:sz w:val="22"/>
          <w:szCs w:val="22"/>
        </w:rPr>
        <w:t xml:space="preserve">Suspension will cease as soon as practicable after the exceptional circumstances leading to the suspension have ceased The </w:t>
      </w:r>
      <w:r w:rsidR="002D1F7A" w:rsidRPr="00CC496B">
        <w:rPr>
          <w:rFonts w:asciiTheme="minorHAnsi" w:hAnsiTheme="minorHAnsi"/>
          <w:color w:val="000000" w:themeColor="text1"/>
          <w:sz w:val="22"/>
          <w:szCs w:val="22"/>
        </w:rPr>
        <w:t>CFB</w:t>
      </w:r>
      <w:r w:rsidRPr="00CC496B">
        <w:rPr>
          <w:rFonts w:asciiTheme="minorHAnsi" w:hAnsiTheme="minorHAnsi"/>
          <w:color w:val="000000" w:themeColor="text1"/>
          <w:sz w:val="22"/>
          <w:szCs w:val="22"/>
        </w:rPr>
        <w:t xml:space="preserve"> may agree during the suspension to deal in Units in which case all deals accepted during and outstanding prior to the suspension will be undertaken at a price calculated at the first Valuation Point after the restart of dealings in Units.</w:t>
      </w:r>
    </w:p>
    <w:p w14:paraId="01DA9696" w14:textId="77777777" w:rsidR="00D8559E" w:rsidRDefault="00D8559E" w:rsidP="00553880">
      <w:pPr>
        <w:pStyle w:val="ListParagraph"/>
        <w:numPr>
          <w:ilvl w:val="0"/>
          <w:numId w:val="2"/>
        </w:numPr>
        <w:spacing w:after="0" w:line="240" w:lineRule="auto"/>
        <w:contextualSpacing w:val="0"/>
        <w:jc w:val="both"/>
        <w:rPr>
          <w:b/>
        </w:rPr>
      </w:pPr>
      <w:r>
        <w:rPr>
          <w:b/>
        </w:rPr>
        <w:t>Risk Warnings</w:t>
      </w:r>
    </w:p>
    <w:p w14:paraId="39CFA9A5" w14:textId="77777777" w:rsidR="002355F1" w:rsidRDefault="002355F1" w:rsidP="00553880">
      <w:pPr>
        <w:pStyle w:val="BodyTextIndent2"/>
        <w:tabs>
          <w:tab w:val="clear" w:pos="7230"/>
        </w:tabs>
        <w:ind w:left="0"/>
        <w:jc w:val="both"/>
        <w:rPr>
          <w:rFonts w:asciiTheme="minorHAnsi" w:eastAsiaTheme="minorHAnsi" w:hAnsiTheme="minorHAnsi" w:cstheme="minorBidi"/>
          <w:b/>
          <w:sz w:val="22"/>
          <w:szCs w:val="22"/>
        </w:rPr>
      </w:pPr>
    </w:p>
    <w:p w14:paraId="6EABFEC6" w14:textId="77777777" w:rsidR="00F01DB7" w:rsidRDefault="002355F1" w:rsidP="00553880">
      <w:pPr>
        <w:pStyle w:val="BodyTextIndent2"/>
        <w:tabs>
          <w:tab w:val="clear" w:pos="7230"/>
        </w:tabs>
        <w:ind w:left="0"/>
        <w:jc w:val="both"/>
        <w:rPr>
          <w:rFonts w:asciiTheme="minorHAnsi" w:hAnsiTheme="minorHAnsi"/>
          <w:sz w:val="22"/>
          <w:szCs w:val="22"/>
        </w:rPr>
      </w:pPr>
      <w:r>
        <w:rPr>
          <w:rFonts w:asciiTheme="minorHAnsi" w:hAnsiTheme="minorHAnsi"/>
          <w:sz w:val="22"/>
          <w:szCs w:val="22"/>
        </w:rPr>
        <w:t xml:space="preserve">There </w:t>
      </w:r>
      <w:r w:rsidR="00D557E2">
        <w:rPr>
          <w:rFonts w:asciiTheme="minorHAnsi" w:hAnsiTheme="minorHAnsi"/>
          <w:sz w:val="22"/>
          <w:szCs w:val="22"/>
        </w:rPr>
        <w:t>are</w:t>
      </w:r>
      <w:r w:rsidR="004F7339">
        <w:rPr>
          <w:rFonts w:asciiTheme="minorHAnsi" w:hAnsiTheme="minorHAnsi"/>
          <w:sz w:val="22"/>
          <w:szCs w:val="22"/>
        </w:rPr>
        <w:t xml:space="preserve"> </w:t>
      </w:r>
      <w:proofErr w:type="gramStart"/>
      <w:r w:rsidR="004F7339">
        <w:rPr>
          <w:rFonts w:asciiTheme="minorHAnsi" w:hAnsiTheme="minorHAnsi"/>
          <w:sz w:val="22"/>
          <w:szCs w:val="22"/>
        </w:rPr>
        <w:t>a number of</w:t>
      </w:r>
      <w:proofErr w:type="gramEnd"/>
      <w:r w:rsidR="004F7339">
        <w:rPr>
          <w:rFonts w:asciiTheme="minorHAnsi" w:hAnsiTheme="minorHAnsi"/>
          <w:sz w:val="22"/>
          <w:szCs w:val="22"/>
        </w:rPr>
        <w:t xml:space="preserve"> market</w:t>
      </w:r>
      <w:r>
        <w:rPr>
          <w:rFonts w:asciiTheme="minorHAnsi" w:hAnsiTheme="minorHAnsi"/>
          <w:sz w:val="22"/>
          <w:szCs w:val="22"/>
        </w:rPr>
        <w:t xml:space="preserve">, investment, </w:t>
      </w:r>
      <w:r w:rsidR="004F7339">
        <w:rPr>
          <w:rFonts w:asciiTheme="minorHAnsi" w:hAnsiTheme="minorHAnsi"/>
          <w:sz w:val="22"/>
          <w:szCs w:val="22"/>
        </w:rPr>
        <w:t>liquidity</w:t>
      </w:r>
      <w:r>
        <w:rPr>
          <w:rFonts w:asciiTheme="minorHAnsi" w:hAnsiTheme="minorHAnsi"/>
          <w:sz w:val="22"/>
          <w:szCs w:val="22"/>
        </w:rPr>
        <w:t xml:space="preserve"> and other risks associated with investing in the CFB Funds. Some of these risks are listed in Appendix Four. This is not an ex</w:t>
      </w:r>
      <w:r w:rsidR="00932DDC">
        <w:rPr>
          <w:rFonts w:asciiTheme="minorHAnsi" w:hAnsiTheme="minorHAnsi"/>
          <w:sz w:val="22"/>
          <w:szCs w:val="22"/>
        </w:rPr>
        <w:t>haustive</w:t>
      </w:r>
      <w:r>
        <w:rPr>
          <w:rFonts w:asciiTheme="minorHAnsi" w:hAnsiTheme="minorHAnsi"/>
          <w:sz w:val="22"/>
          <w:szCs w:val="22"/>
        </w:rPr>
        <w:t xml:space="preserve"> list and if any investor has concerns about the risks of investing in any Fund we urge you to contact the </w:t>
      </w:r>
      <w:r w:rsidR="00D113E2">
        <w:rPr>
          <w:rFonts w:asciiTheme="minorHAnsi" w:hAnsiTheme="minorHAnsi"/>
          <w:sz w:val="22"/>
          <w:szCs w:val="22"/>
        </w:rPr>
        <w:t>CFB.</w:t>
      </w:r>
    </w:p>
    <w:p w14:paraId="5759EEFC" w14:textId="77777777" w:rsidR="002355F1" w:rsidRPr="00F01DB7" w:rsidRDefault="002355F1" w:rsidP="00553880">
      <w:pPr>
        <w:pStyle w:val="BodyTextIndent2"/>
        <w:tabs>
          <w:tab w:val="clear" w:pos="7230"/>
        </w:tabs>
        <w:ind w:left="0"/>
        <w:jc w:val="both"/>
        <w:rPr>
          <w:rFonts w:asciiTheme="minorHAnsi" w:hAnsiTheme="minorHAnsi"/>
          <w:sz w:val="22"/>
          <w:szCs w:val="22"/>
        </w:rPr>
      </w:pPr>
      <w:r>
        <w:rPr>
          <w:rFonts w:asciiTheme="minorHAnsi" w:hAnsiTheme="minorHAnsi"/>
          <w:sz w:val="22"/>
          <w:szCs w:val="22"/>
        </w:rPr>
        <w:t xml:space="preserve"> </w:t>
      </w:r>
    </w:p>
    <w:p w14:paraId="30321988" w14:textId="77777777" w:rsidR="00966F70" w:rsidRDefault="00966F70" w:rsidP="00553880">
      <w:pPr>
        <w:pStyle w:val="ListParagraph"/>
        <w:numPr>
          <w:ilvl w:val="0"/>
          <w:numId w:val="2"/>
        </w:numPr>
        <w:spacing w:after="0" w:line="240" w:lineRule="auto"/>
        <w:contextualSpacing w:val="0"/>
        <w:jc w:val="both"/>
        <w:rPr>
          <w:b/>
        </w:rPr>
      </w:pPr>
      <w:r>
        <w:rPr>
          <w:b/>
        </w:rPr>
        <w:t>Taxation</w:t>
      </w:r>
    </w:p>
    <w:p w14:paraId="0D0A4409" w14:textId="77777777" w:rsidR="00966F70" w:rsidRPr="00966F70" w:rsidRDefault="00966F70" w:rsidP="00553880">
      <w:pPr>
        <w:spacing w:after="0" w:line="240" w:lineRule="auto"/>
        <w:jc w:val="both"/>
        <w:rPr>
          <w:b/>
        </w:rPr>
      </w:pPr>
    </w:p>
    <w:p w14:paraId="5DE0C7A3" w14:textId="77777777" w:rsidR="00D8559E" w:rsidRPr="00F01DB7" w:rsidRDefault="00966F70" w:rsidP="00553880">
      <w:pPr>
        <w:pStyle w:val="BodyTextIndent2"/>
        <w:tabs>
          <w:tab w:val="clear" w:pos="567"/>
          <w:tab w:val="clear" w:pos="7230"/>
        </w:tabs>
        <w:ind w:left="0"/>
        <w:jc w:val="both"/>
        <w:rPr>
          <w:rFonts w:ascii="Calibri" w:hAnsi="Calibri"/>
          <w:sz w:val="22"/>
          <w:szCs w:val="22"/>
        </w:rPr>
      </w:pPr>
      <w:r w:rsidRPr="00F01DB7">
        <w:rPr>
          <w:rFonts w:ascii="Calibri" w:hAnsi="Calibri"/>
          <w:sz w:val="22"/>
          <w:szCs w:val="22"/>
        </w:rPr>
        <w:t xml:space="preserve">The CFB Funds are exempt from UK income tax and capital gains tax due to their charitable status pursuant to Sections 505 and 506 of the Income and Corporation Taxes Act 1988.  Distributions are paid on the basis that all recoverable UK taxation has been reclaimed.  </w:t>
      </w:r>
      <w:r w:rsidR="00D8559E" w:rsidRPr="00F01DB7">
        <w:rPr>
          <w:rFonts w:ascii="Calibri" w:hAnsi="Calibri"/>
          <w:sz w:val="22"/>
          <w:szCs w:val="22"/>
        </w:rPr>
        <w:t xml:space="preserve">Overseas withholding tax is deducted in </w:t>
      </w:r>
      <w:proofErr w:type="gramStart"/>
      <w:r w:rsidR="00D8559E" w:rsidRPr="00F01DB7">
        <w:rPr>
          <w:rFonts w:ascii="Calibri" w:hAnsi="Calibri"/>
          <w:sz w:val="22"/>
          <w:szCs w:val="22"/>
        </w:rPr>
        <w:t>full from</w:t>
      </w:r>
      <w:proofErr w:type="gramEnd"/>
      <w:r w:rsidR="00D8559E" w:rsidRPr="00F01DB7">
        <w:rPr>
          <w:rFonts w:ascii="Calibri" w:hAnsi="Calibri"/>
          <w:sz w:val="22"/>
          <w:szCs w:val="22"/>
        </w:rPr>
        <w:t xml:space="preserve"> overseas income on receipt.  Recoverable withholding tax is credited to income when it is declared.</w:t>
      </w:r>
    </w:p>
    <w:p w14:paraId="430009FC" w14:textId="77777777" w:rsidR="00966F70" w:rsidRPr="00966F70" w:rsidRDefault="00966F70" w:rsidP="00553880">
      <w:pPr>
        <w:spacing w:after="0" w:line="240" w:lineRule="auto"/>
        <w:jc w:val="both"/>
        <w:rPr>
          <w:b/>
        </w:rPr>
      </w:pPr>
    </w:p>
    <w:p w14:paraId="738BE994" w14:textId="77777777" w:rsidR="005A09C0" w:rsidRDefault="00670FFD" w:rsidP="00553880">
      <w:pPr>
        <w:pStyle w:val="ListParagraph"/>
        <w:numPr>
          <w:ilvl w:val="0"/>
          <w:numId w:val="2"/>
        </w:numPr>
        <w:spacing w:after="0" w:line="240" w:lineRule="auto"/>
        <w:contextualSpacing w:val="0"/>
        <w:jc w:val="both"/>
        <w:rPr>
          <w:b/>
        </w:rPr>
      </w:pPr>
      <w:r w:rsidRPr="00FA6EF2">
        <w:rPr>
          <w:b/>
        </w:rPr>
        <w:t>Complaints</w:t>
      </w:r>
      <w:r w:rsidR="00ED5ED2">
        <w:rPr>
          <w:b/>
        </w:rPr>
        <w:t xml:space="preserve"> </w:t>
      </w:r>
    </w:p>
    <w:p w14:paraId="598CB538" w14:textId="77777777" w:rsidR="005A09C0" w:rsidRDefault="005A09C0" w:rsidP="00553880">
      <w:pPr>
        <w:spacing w:after="0" w:line="240" w:lineRule="auto"/>
        <w:jc w:val="both"/>
        <w:rPr>
          <w:b/>
        </w:rPr>
      </w:pPr>
    </w:p>
    <w:p w14:paraId="06111943" w14:textId="51467BAC" w:rsidR="005A09C0" w:rsidRPr="008C47AD" w:rsidRDefault="005A09C0" w:rsidP="00553880">
      <w:pPr>
        <w:spacing w:after="0" w:line="240" w:lineRule="auto"/>
        <w:jc w:val="both"/>
        <w:rPr>
          <w:rFonts w:ascii="Calibri" w:eastAsia="Times New Roman" w:hAnsi="Calibri" w:cs="Times New Roman"/>
          <w:lang w:eastAsia="en-GB"/>
        </w:rPr>
      </w:pPr>
      <w:r w:rsidRPr="00ED5ED2">
        <w:t xml:space="preserve">All complaints should be addressed to </w:t>
      </w:r>
      <w:r w:rsidRPr="008C47AD">
        <w:t xml:space="preserve">the </w:t>
      </w:r>
      <w:r w:rsidR="00831FA3">
        <w:t xml:space="preserve">Compliance </w:t>
      </w:r>
      <w:r w:rsidRPr="008C47AD">
        <w:t>Officer of the CFB by letter</w:t>
      </w:r>
      <w:r w:rsidR="008C47AD">
        <w:t xml:space="preserve"> at the above address</w:t>
      </w:r>
      <w:r w:rsidR="00EE5AC2" w:rsidRPr="008C47AD">
        <w:t>.</w:t>
      </w:r>
      <w:r w:rsidRPr="008C47AD">
        <w:t xml:space="preserve"> </w:t>
      </w:r>
    </w:p>
    <w:p w14:paraId="5902D2BD" w14:textId="77777777" w:rsidR="00EE5AC2" w:rsidRPr="008C47AD" w:rsidRDefault="00EE5AC2" w:rsidP="00553880">
      <w:pPr>
        <w:spacing w:after="0" w:line="240" w:lineRule="auto"/>
        <w:jc w:val="both"/>
        <w:rPr>
          <w:rFonts w:ascii="Calibri" w:eastAsia="Times New Roman" w:hAnsi="Calibri" w:cs="Times New Roman"/>
          <w:lang w:eastAsia="en-GB"/>
        </w:rPr>
      </w:pPr>
    </w:p>
    <w:p w14:paraId="5C5B8DBA" w14:textId="77777777" w:rsidR="005A09C0" w:rsidRDefault="005A09C0" w:rsidP="00553880">
      <w:pPr>
        <w:spacing w:after="0" w:line="240" w:lineRule="auto"/>
        <w:jc w:val="both"/>
      </w:pPr>
      <w:r w:rsidRPr="008C47AD">
        <w:t>We will endeavour to reply to your complaint within 7 working days.</w:t>
      </w:r>
    </w:p>
    <w:p w14:paraId="028163FF" w14:textId="77777777" w:rsidR="005A29A2" w:rsidRDefault="005A29A2" w:rsidP="00553880">
      <w:pPr>
        <w:spacing w:after="0" w:line="240" w:lineRule="auto"/>
        <w:jc w:val="both"/>
        <w:rPr>
          <w:b/>
        </w:rPr>
      </w:pPr>
    </w:p>
    <w:p w14:paraId="3F58F615" w14:textId="77777777" w:rsidR="005A09C0" w:rsidRPr="005A09C0" w:rsidRDefault="005A09C0" w:rsidP="00553880">
      <w:pPr>
        <w:spacing w:after="0" w:line="240" w:lineRule="auto"/>
        <w:jc w:val="both"/>
        <w:rPr>
          <w:b/>
        </w:rPr>
      </w:pPr>
    </w:p>
    <w:p w14:paraId="52E5517B" w14:textId="77777777" w:rsidR="007D3A59" w:rsidRDefault="005A09C0" w:rsidP="00553880">
      <w:pPr>
        <w:pStyle w:val="ListParagraph"/>
        <w:numPr>
          <w:ilvl w:val="0"/>
          <w:numId w:val="2"/>
        </w:numPr>
        <w:spacing w:after="0" w:line="240" w:lineRule="auto"/>
        <w:contextualSpacing w:val="0"/>
        <w:jc w:val="both"/>
        <w:rPr>
          <w:b/>
        </w:rPr>
      </w:pPr>
      <w:r>
        <w:rPr>
          <w:b/>
        </w:rPr>
        <w:t>R</w:t>
      </w:r>
      <w:r w:rsidR="00ED5ED2">
        <w:rPr>
          <w:b/>
        </w:rPr>
        <w:t>egulatory status</w:t>
      </w:r>
    </w:p>
    <w:p w14:paraId="4273AAF5" w14:textId="77777777" w:rsidR="00ED5ED2" w:rsidRDefault="00ED5ED2" w:rsidP="00553880">
      <w:pPr>
        <w:pStyle w:val="ListParagraph"/>
        <w:spacing w:after="0" w:line="240" w:lineRule="auto"/>
        <w:ind w:left="786"/>
        <w:contextualSpacing w:val="0"/>
        <w:jc w:val="both"/>
        <w:rPr>
          <w:b/>
        </w:rPr>
      </w:pPr>
    </w:p>
    <w:p w14:paraId="6A725996" w14:textId="77777777" w:rsidR="00ED5ED2" w:rsidRDefault="005A09C0" w:rsidP="007C4E76">
      <w:pPr>
        <w:spacing w:after="0" w:line="240" w:lineRule="auto"/>
        <w:jc w:val="both"/>
      </w:pPr>
      <w:r>
        <w:t>All investors</w:t>
      </w:r>
      <w:r w:rsidR="00ED5ED2">
        <w:t xml:space="preserve"> </w:t>
      </w:r>
      <w:r w:rsidR="008C47AD">
        <w:t>are reminded</w:t>
      </w:r>
      <w:r w:rsidR="00ED5ED2">
        <w:t xml:space="preserve"> that the Funds of the CFB are not regulated </w:t>
      </w:r>
      <w:r>
        <w:t xml:space="preserve">by the FCA </w:t>
      </w:r>
      <w:r w:rsidR="00ED5ED2">
        <w:t xml:space="preserve">and that investors are not entitled to take a complaint to the Financial Ombudsman service. The Funds do not </w:t>
      </w:r>
      <w:r w:rsidR="00F32DF3">
        <w:t>participate in the protection of the Financial Services Compensation Scheme.</w:t>
      </w:r>
    </w:p>
    <w:p w14:paraId="3FE3AE80" w14:textId="77777777" w:rsidR="008C47AD" w:rsidRDefault="00C5671B" w:rsidP="008C47AD">
      <w:pPr>
        <w:spacing w:line="240" w:lineRule="auto"/>
        <w:jc w:val="center"/>
      </w:pPr>
      <w:r>
        <w:br w:type="page"/>
      </w:r>
      <w:r w:rsidR="00625D44" w:rsidRPr="00625D44">
        <w:rPr>
          <w:b/>
        </w:rPr>
        <w:lastRenderedPageBreak/>
        <w:t xml:space="preserve">Appendix </w:t>
      </w:r>
      <w:r w:rsidR="00625D44">
        <w:rPr>
          <w:b/>
        </w:rPr>
        <w:t>One</w:t>
      </w:r>
    </w:p>
    <w:p w14:paraId="00A5A0CD" w14:textId="6B0003B2" w:rsidR="00625D44" w:rsidRPr="00B43323" w:rsidRDefault="00625D44" w:rsidP="00B43323">
      <w:pPr>
        <w:spacing w:line="240" w:lineRule="auto"/>
        <w:jc w:val="center"/>
      </w:pPr>
      <w:r>
        <w:rPr>
          <w:b/>
        </w:rPr>
        <w:t>Fund Objectives &amp; Investment Parameters</w:t>
      </w:r>
    </w:p>
    <w:p w14:paraId="35D71FBE" w14:textId="77777777" w:rsidR="00625D44" w:rsidRPr="002140AC" w:rsidRDefault="00625D44" w:rsidP="00625D44">
      <w:pPr>
        <w:spacing w:after="0" w:line="240" w:lineRule="auto"/>
        <w:jc w:val="both"/>
        <w:rPr>
          <w:b/>
        </w:rPr>
      </w:pPr>
    </w:p>
    <w:p w14:paraId="5355BFDB" w14:textId="77777777" w:rsidR="00625D44" w:rsidRPr="002140AC" w:rsidRDefault="00625D44" w:rsidP="00625D44">
      <w:pPr>
        <w:spacing w:after="0" w:line="240" w:lineRule="auto"/>
        <w:jc w:val="both"/>
        <w:rPr>
          <w:b/>
        </w:rPr>
      </w:pPr>
    </w:p>
    <w:p w14:paraId="4FB6A53E" w14:textId="77777777" w:rsidR="00625D44" w:rsidRPr="002140AC" w:rsidRDefault="00625D44" w:rsidP="00625D44">
      <w:pPr>
        <w:spacing w:after="0" w:line="240" w:lineRule="auto"/>
        <w:jc w:val="both"/>
        <w:rPr>
          <w:b/>
        </w:rPr>
      </w:pPr>
    </w:p>
    <w:p w14:paraId="68BC21B7" w14:textId="77777777" w:rsidR="0018218D" w:rsidRDefault="0018218D" w:rsidP="00625D44">
      <w:pPr>
        <w:spacing w:after="0" w:line="240" w:lineRule="auto"/>
        <w:jc w:val="both"/>
        <w:rPr>
          <w:b/>
        </w:rPr>
      </w:pPr>
    </w:p>
    <w:p w14:paraId="08B8796C" w14:textId="77777777" w:rsidR="0018218D" w:rsidRDefault="0018218D" w:rsidP="00625D44">
      <w:pPr>
        <w:spacing w:after="0" w:line="240" w:lineRule="auto"/>
        <w:jc w:val="both"/>
        <w:rPr>
          <w:b/>
        </w:rPr>
      </w:pPr>
    </w:p>
    <w:p w14:paraId="2CEE155D" w14:textId="24BFDF61" w:rsidR="00625D44" w:rsidRPr="002140AC" w:rsidRDefault="00A6368E" w:rsidP="00625D44">
      <w:pPr>
        <w:spacing w:after="0" w:line="240" w:lineRule="auto"/>
        <w:jc w:val="both"/>
        <w:rPr>
          <w:b/>
        </w:rPr>
      </w:pPr>
      <w:r>
        <w:rPr>
          <w:b/>
        </w:rPr>
        <w:t xml:space="preserve">CFB </w:t>
      </w:r>
      <w:r w:rsidR="00625D44" w:rsidRPr="002140AC">
        <w:rPr>
          <w:b/>
        </w:rPr>
        <w:t>Deposit Fund</w:t>
      </w:r>
    </w:p>
    <w:tbl>
      <w:tblPr>
        <w:tblStyle w:val="TableGrid"/>
        <w:tblW w:w="9322" w:type="dxa"/>
        <w:tblLayout w:type="fixed"/>
        <w:tblLook w:val="04A0" w:firstRow="1" w:lastRow="0" w:firstColumn="1" w:lastColumn="0" w:noHBand="0" w:noVBand="1"/>
      </w:tblPr>
      <w:tblGrid>
        <w:gridCol w:w="5353"/>
        <w:gridCol w:w="3969"/>
      </w:tblGrid>
      <w:tr w:rsidR="00625D44" w14:paraId="2F2B4E6B" w14:textId="77777777" w:rsidTr="00625D44">
        <w:tc>
          <w:tcPr>
            <w:tcW w:w="5353" w:type="dxa"/>
          </w:tcPr>
          <w:p w14:paraId="44B66275" w14:textId="77777777" w:rsidR="00625D44" w:rsidRDefault="00625D44" w:rsidP="00625D44">
            <w:pPr>
              <w:jc w:val="both"/>
              <w:rPr>
                <w:b/>
              </w:rPr>
            </w:pPr>
            <w:r>
              <w:rPr>
                <w:b/>
              </w:rPr>
              <w:t>Objective</w:t>
            </w:r>
          </w:p>
        </w:tc>
        <w:tc>
          <w:tcPr>
            <w:tcW w:w="3969" w:type="dxa"/>
          </w:tcPr>
          <w:p w14:paraId="23EBFBE5" w14:textId="77777777" w:rsidR="00625D44" w:rsidRDefault="00625D44" w:rsidP="00625D44">
            <w:pPr>
              <w:jc w:val="both"/>
              <w:rPr>
                <w:b/>
              </w:rPr>
            </w:pPr>
            <w:r>
              <w:rPr>
                <w:b/>
              </w:rPr>
              <w:t>Parameters</w:t>
            </w:r>
          </w:p>
        </w:tc>
      </w:tr>
      <w:tr w:rsidR="00625D44" w14:paraId="42248BC9" w14:textId="77777777" w:rsidTr="00625D44">
        <w:tc>
          <w:tcPr>
            <w:tcW w:w="5353" w:type="dxa"/>
          </w:tcPr>
          <w:p w14:paraId="2B6C2AA0" w14:textId="7255E35A" w:rsidR="00625D44" w:rsidRPr="00130AA0" w:rsidRDefault="00625D44" w:rsidP="00C20DF8">
            <w:pPr>
              <w:jc w:val="both"/>
              <w:rPr>
                <w:rFonts w:asciiTheme="minorHAnsi" w:hAnsiTheme="minorHAnsi"/>
                <w:b/>
                <w:sz w:val="18"/>
                <w:szCs w:val="18"/>
              </w:rPr>
            </w:pPr>
            <w:r w:rsidRPr="00130AA0">
              <w:rPr>
                <w:rFonts w:asciiTheme="minorHAnsi" w:eastAsia="Arial" w:hAnsiTheme="minorHAnsi"/>
                <w:color w:val="1A1A1A"/>
                <w:sz w:val="18"/>
                <w:szCs w:val="18"/>
              </w:rPr>
              <w:t>To</w:t>
            </w:r>
            <w:r w:rsidRPr="00130AA0">
              <w:rPr>
                <w:rFonts w:asciiTheme="minorHAnsi" w:eastAsia="Arial" w:hAnsiTheme="minorHAnsi"/>
                <w:color w:val="1A1A1A"/>
                <w:spacing w:val="-1"/>
                <w:sz w:val="18"/>
                <w:szCs w:val="18"/>
              </w:rPr>
              <w:t xml:space="preserve"> </w:t>
            </w:r>
            <w:r w:rsidRPr="00130AA0">
              <w:rPr>
                <w:rFonts w:asciiTheme="minorHAnsi" w:eastAsia="Arial" w:hAnsiTheme="minorHAnsi"/>
                <w:color w:val="1A1A1A"/>
                <w:sz w:val="18"/>
                <w:szCs w:val="18"/>
              </w:rPr>
              <w:t>obtain</w:t>
            </w:r>
            <w:r w:rsidRPr="00130AA0">
              <w:rPr>
                <w:rFonts w:asciiTheme="minorHAnsi" w:eastAsia="Arial" w:hAnsiTheme="minorHAnsi"/>
                <w:color w:val="1A1A1A"/>
                <w:spacing w:val="-5"/>
                <w:sz w:val="18"/>
                <w:szCs w:val="18"/>
              </w:rPr>
              <w:t xml:space="preserve"> </w:t>
            </w:r>
            <w:r w:rsidRPr="00130AA0">
              <w:rPr>
                <w:rFonts w:asciiTheme="minorHAnsi" w:eastAsia="Arial" w:hAnsiTheme="minorHAnsi"/>
                <w:color w:val="1A1A1A"/>
                <w:sz w:val="18"/>
                <w:szCs w:val="18"/>
              </w:rPr>
              <w:t>the</w:t>
            </w:r>
            <w:r w:rsidRPr="00130AA0">
              <w:rPr>
                <w:rFonts w:asciiTheme="minorHAnsi" w:eastAsia="Arial" w:hAnsiTheme="minorHAnsi"/>
                <w:color w:val="1A1A1A"/>
                <w:spacing w:val="7"/>
                <w:sz w:val="18"/>
                <w:szCs w:val="18"/>
              </w:rPr>
              <w:t xml:space="preserve"> </w:t>
            </w:r>
            <w:r w:rsidRPr="00130AA0">
              <w:rPr>
                <w:rFonts w:asciiTheme="minorHAnsi" w:eastAsia="Arial" w:hAnsiTheme="minorHAnsi"/>
                <w:color w:val="1A1A1A"/>
                <w:sz w:val="18"/>
                <w:szCs w:val="18"/>
              </w:rPr>
              <w:t>higher</w:t>
            </w:r>
            <w:r w:rsidRPr="00130AA0">
              <w:rPr>
                <w:rFonts w:asciiTheme="minorHAnsi" w:eastAsia="Arial" w:hAnsiTheme="minorHAnsi"/>
                <w:color w:val="1A1A1A"/>
                <w:spacing w:val="3"/>
                <w:sz w:val="18"/>
                <w:szCs w:val="18"/>
              </w:rPr>
              <w:t xml:space="preserve"> </w:t>
            </w:r>
            <w:r w:rsidRPr="00130AA0">
              <w:rPr>
                <w:rFonts w:asciiTheme="minorHAnsi" w:eastAsia="Arial" w:hAnsiTheme="minorHAnsi"/>
                <w:color w:val="1A1A1A"/>
                <w:sz w:val="18"/>
                <w:szCs w:val="18"/>
              </w:rPr>
              <w:t>rates</w:t>
            </w:r>
            <w:r w:rsidRPr="00130AA0">
              <w:rPr>
                <w:rFonts w:asciiTheme="minorHAnsi" w:eastAsia="Arial" w:hAnsiTheme="minorHAnsi"/>
                <w:color w:val="1A1A1A"/>
                <w:spacing w:val="-1"/>
                <w:sz w:val="18"/>
                <w:szCs w:val="18"/>
              </w:rPr>
              <w:t xml:space="preserve"> </w:t>
            </w:r>
            <w:r w:rsidRPr="00130AA0">
              <w:rPr>
                <w:rFonts w:asciiTheme="minorHAnsi" w:eastAsia="Arial" w:hAnsiTheme="minorHAnsi"/>
                <w:color w:val="1A1A1A"/>
                <w:sz w:val="18"/>
                <w:szCs w:val="18"/>
              </w:rPr>
              <w:t>of</w:t>
            </w:r>
            <w:r w:rsidRPr="00130AA0">
              <w:rPr>
                <w:rFonts w:asciiTheme="minorHAnsi" w:eastAsia="Arial" w:hAnsiTheme="minorHAnsi"/>
                <w:color w:val="1A1A1A"/>
                <w:spacing w:val="8"/>
                <w:sz w:val="18"/>
                <w:szCs w:val="18"/>
              </w:rPr>
              <w:t xml:space="preserve"> </w:t>
            </w:r>
            <w:r w:rsidRPr="00130AA0">
              <w:rPr>
                <w:rFonts w:asciiTheme="minorHAnsi" w:eastAsia="Arial" w:hAnsiTheme="minorHAnsi"/>
                <w:color w:val="1A1A1A"/>
                <w:sz w:val="18"/>
                <w:szCs w:val="18"/>
              </w:rPr>
              <w:t>interest</w:t>
            </w:r>
            <w:r>
              <w:rPr>
                <w:rFonts w:asciiTheme="minorHAnsi" w:eastAsia="Arial" w:hAnsiTheme="minorHAnsi"/>
                <w:color w:val="1A1A1A"/>
                <w:spacing w:val="9"/>
                <w:sz w:val="18"/>
                <w:szCs w:val="18"/>
              </w:rPr>
              <w:t xml:space="preserve"> </w:t>
            </w:r>
            <w:r w:rsidRPr="00130AA0">
              <w:rPr>
                <w:rFonts w:asciiTheme="minorHAnsi" w:eastAsia="Arial" w:hAnsiTheme="minorHAnsi"/>
                <w:color w:val="1A1A1A"/>
                <w:sz w:val="18"/>
                <w:szCs w:val="18"/>
              </w:rPr>
              <w:t>usually</w:t>
            </w:r>
            <w:r w:rsidRPr="00130AA0">
              <w:rPr>
                <w:rFonts w:asciiTheme="minorHAnsi" w:eastAsia="Arial" w:hAnsiTheme="minorHAnsi"/>
                <w:color w:val="1A1A1A"/>
                <w:spacing w:val="-1"/>
                <w:sz w:val="18"/>
                <w:szCs w:val="18"/>
              </w:rPr>
              <w:t xml:space="preserve"> </w:t>
            </w:r>
            <w:r w:rsidRPr="00130AA0">
              <w:rPr>
                <w:rFonts w:asciiTheme="minorHAnsi" w:eastAsia="Arial" w:hAnsiTheme="minorHAnsi"/>
                <w:color w:val="1A1A1A"/>
                <w:sz w:val="18"/>
                <w:szCs w:val="18"/>
              </w:rPr>
              <w:t>available</w:t>
            </w:r>
            <w:r w:rsidRPr="00130AA0">
              <w:rPr>
                <w:rFonts w:asciiTheme="minorHAnsi" w:eastAsia="Arial" w:hAnsiTheme="minorHAnsi"/>
                <w:color w:val="1A1A1A"/>
                <w:spacing w:val="5"/>
                <w:sz w:val="18"/>
                <w:szCs w:val="18"/>
              </w:rPr>
              <w:t xml:space="preserve"> </w:t>
            </w:r>
            <w:r w:rsidRPr="00130AA0">
              <w:rPr>
                <w:rFonts w:asciiTheme="minorHAnsi" w:eastAsia="Arial" w:hAnsiTheme="minorHAnsi"/>
                <w:color w:val="1A1A1A"/>
                <w:sz w:val="18"/>
                <w:szCs w:val="18"/>
              </w:rPr>
              <w:t>in</w:t>
            </w:r>
            <w:r w:rsidRPr="00130AA0">
              <w:rPr>
                <w:rFonts w:asciiTheme="minorHAnsi" w:eastAsia="Arial" w:hAnsiTheme="minorHAnsi"/>
                <w:color w:val="1A1A1A"/>
                <w:spacing w:val="-9"/>
                <w:sz w:val="18"/>
                <w:szCs w:val="18"/>
              </w:rPr>
              <w:t xml:space="preserve"> </w:t>
            </w:r>
            <w:r w:rsidRPr="00130AA0">
              <w:rPr>
                <w:rFonts w:asciiTheme="minorHAnsi" w:eastAsia="Arial" w:hAnsiTheme="minorHAnsi"/>
                <w:color w:val="1A1A1A"/>
                <w:sz w:val="18"/>
                <w:szCs w:val="18"/>
              </w:rPr>
              <w:t>the</w:t>
            </w:r>
            <w:r w:rsidRPr="00130AA0">
              <w:rPr>
                <w:rFonts w:asciiTheme="minorHAnsi" w:eastAsia="Arial" w:hAnsiTheme="minorHAnsi"/>
                <w:color w:val="1A1A1A"/>
                <w:spacing w:val="7"/>
                <w:sz w:val="18"/>
                <w:szCs w:val="18"/>
              </w:rPr>
              <w:t xml:space="preserve"> </w:t>
            </w:r>
            <w:r w:rsidRPr="00130AA0">
              <w:rPr>
                <w:rFonts w:asciiTheme="minorHAnsi" w:eastAsia="Arial" w:hAnsiTheme="minorHAnsi"/>
                <w:color w:val="1A1A1A"/>
                <w:sz w:val="18"/>
                <w:szCs w:val="18"/>
              </w:rPr>
              <w:t>London</w:t>
            </w:r>
            <w:r w:rsidRPr="00130AA0">
              <w:rPr>
                <w:rFonts w:asciiTheme="minorHAnsi" w:eastAsia="Arial" w:hAnsiTheme="minorHAnsi"/>
                <w:color w:val="1A1A1A"/>
                <w:spacing w:val="-8"/>
                <w:sz w:val="18"/>
                <w:szCs w:val="18"/>
              </w:rPr>
              <w:t xml:space="preserve"> </w:t>
            </w:r>
            <w:r w:rsidRPr="00130AA0">
              <w:rPr>
                <w:rFonts w:asciiTheme="minorHAnsi" w:eastAsia="Arial" w:hAnsiTheme="minorHAnsi"/>
                <w:color w:val="1A1A1A"/>
                <w:sz w:val="18"/>
                <w:szCs w:val="18"/>
              </w:rPr>
              <w:t>Money</w:t>
            </w:r>
            <w:r w:rsidRPr="00130AA0">
              <w:rPr>
                <w:rFonts w:asciiTheme="minorHAnsi" w:eastAsia="Arial" w:hAnsiTheme="minorHAnsi"/>
                <w:color w:val="1A1A1A"/>
                <w:spacing w:val="2"/>
                <w:sz w:val="18"/>
                <w:szCs w:val="18"/>
              </w:rPr>
              <w:t xml:space="preserve"> </w:t>
            </w:r>
            <w:r w:rsidRPr="00130AA0">
              <w:rPr>
                <w:rFonts w:asciiTheme="minorHAnsi" w:eastAsia="Arial" w:hAnsiTheme="minorHAnsi"/>
                <w:color w:val="1A1A1A"/>
                <w:sz w:val="18"/>
                <w:szCs w:val="18"/>
              </w:rPr>
              <w:t>Market</w:t>
            </w:r>
            <w:r w:rsidR="008C161E">
              <w:rPr>
                <w:rFonts w:asciiTheme="minorHAnsi" w:eastAsia="Arial" w:hAnsiTheme="minorHAnsi"/>
                <w:color w:val="1A1A1A"/>
                <w:sz w:val="18"/>
                <w:szCs w:val="18"/>
              </w:rPr>
              <w:t>,</w:t>
            </w:r>
            <w:r w:rsidRPr="00130AA0">
              <w:rPr>
                <w:rFonts w:asciiTheme="minorHAnsi" w:eastAsia="Arial" w:hAnsiTheme="minorHAnsi"/>
                <w:color w:val="1A1A1A"/>
                <w:spacing w:val="1"/>
                <w:sz w:val="18"/>
                <w:szCs w:val="18"/>
              </w:rPr>
              <w:t xml:space="preserve"> </w:t>
            </w:r>
            <w:r w:rsidRPr="00130AA0">
              <w:rPr>
                <w:rFonts w:asciiTheme="minorHAnsi" w:eastAsia="Arial" w:hAnsiTheme="minorHAnsi"/>
                <w:color w:val="1A1A1A"/>
                <w:sz w:val="18"/>
                <w:szCs w:val="18"/>
              </w:rPr>
              <w:t>whilst</w:t>
            </w:r>
            <w:r w:rsidRPr="00130AA0">
              <w:rPr>
                <w:rFonts w:asciiTheme="minorHAnsi" w:eastAsia="Arial" w:hAnsiTheme="minorHAnsi"/>
                <w:color w:val="1A1A1A"/>
                <w:spacing w:val="11"/>
                <w:sz w:val="18"/>
                <w:szCs w:val="18"/>
              </w:rPr>
              <w:t xml:space="preserve"> </w:t>
            </w:r>
            <w:r w:rsidRPr="00130AA0">
              <w:rPr>
                <w:rFonts w:asciiTheme="minorHAnsi" w:eastAsia="Arial" w:hAnsiTheme="minorHAnsi"/>
                <w:color w:val="1A1A1A"/>
                <w:sz w:val="18"/>
                <w:szCs w:val="18"/>
              </w:rPr>
              <w:t>maintaining</w:t>
            </w:r>
            <w:r w:rsidRPr="00130AA0">
              <w:rPr>
                <w:rFonts w:asciiTheme="minorHAnsi" w:eastAsia="Arial" w:hAnsiTheme="minorHAnsi"/>
                <w:color w:val="1A1A1A"/>
                <w:spacing w:val="-17"/>
                <w:sz w:val="18"/>
                <w:szCs w:val="18"/>
              </w:rPr>
              <w:t xml:space="preserve"> </w:t>
            </w:r>
            <w:r w:rsidRPr="00130AA0">
              <w:rPr>
                <w:rFonts w:asciiTheme="minorHAnsi" w:eastAsia="Arial" w:hAnsiTheme="minorHAnsi"/>
                <w:color w:val="1A1A1A"/>
                <w:sz w:val="18"/>
                <w:szCs w:val="18"/>
              </w:rPr>
              <w:t>the</w:t>
            </w:r>
            <w:r w:rsidRPr="00130AA0">
              <w:rPr>
                <w:rFonts w:asciiTheme="minorHAnsi" w:eastAsia="Arial" w:hAnsiTheme="minorHAnsi"/>
                <w:color w:val="1A1A1A"/>
                <w:spacing w:val="3"/>
                <w:sz w:val="18"/>
                <w:szCs w:val="18"/>
              </w:rPr>
              <w:t xml:space="preserve"> </w:t>
            </w:r>
            <w:r w:rsidRPr="00130AA0">
              <w:rPr>
                <w:rFonts w:asciiTheme="minorHAnsi" w:eastAsia="Arial" w:hAnsiTheme="minorHAnsi"/>
                <w:color w:val="1A1A1A"/>
                <w:sz w:val="18"/>
                <w:szCs w:val="18"/>
              </w:rPr>
              <w:t>ability to</w:t>
            </w:r>
            <w:r w:rsidRPr="00130AA0">
              <w:rPr>
                <w:rFonts w:asciiTheme="minorHAnsi" w:eastAsia="Arial" w:hAnsiTheme="minorHAnsi"/>
                <w:color w:val="1A1A1A"/>
                <w:spacing w:val="8"/>
                <w:sz w:val="18"/>
                <w:szCs w:val="18"/>
              </w:rPr>
              <w:t xml:space="preserve"> </w:t>
            </w:r>
            <w:r w:rsidRPr="00130AA0">
              <w:rPr>
                <w:rFonts w:asciiTheme="minorHAnsi" w:eastAsia="Arial" w:hAnsiTheme="minorHAnsi"/>
                <w:color w:val="1A1A1A"/>
                <w:sz w:val="18"/>
                <w:szCs w:val="18"/>
              </w:rPr>
              <w:t>make</w:t>
            </w:r>
            <w:r w:rsidRPr="00130AA0">
              <w:rPr>
                <w:rFonts w:asciiTheme="minorHAnsi" w:eastAsia="Arial" w:hAnsiTheme="minorHAnsi"/>
                <w:color w:val="1A1A1A"/>
                <w:spacing w:val="-12"/>
                <w:sz w:val="18"/>
                <w:szCs w:val="18"/>
              </w:rPr>
              <w:t xml:space="preserve"> </w:t>
            </w:r>
            <w:r w:rsidRPr="00130AA0">
              <w:rPr>
                <w:rFonts w:asciiTheme="minorHAnsi" w:eastAsia="Arial" w:hAnsiTheme="minorHAnsi"/>
                <w:color w:val="1A1A1A"/>
                <w:sz w:val="18"/>
                <w:szCs w:val="18"/>
              </w:rPr>
              <w:t>withdrawals</w:t>
            </w:r>
            <w:r w:rsidRPr="00130AA0">
              <w:rPr>
                <w:rFonts w:asciiTheme="minorHAnsi" w:eastAsia="Arial" w:hAnsiTheme="minorHAnsi"/>
                <w:color w:val="1A1A1A"/>
                <w:spacing w:val="4"/>
                <w:sz w:val="18"/>
                <w:szCs w:val="18"/>
              </w:rPr>
              <w:t xml:space="preserve"> </w:t>
            </w:r>
            <w:r w:rsidRPr="00130AA0">
              <w:rPr>
                <w:rFonts w:asciiTheme="minorHAnsi" w:eastAsia="Arial" w:hAnsiTheme="minorHAnsi"/>
                <w:color w:val="1A1A1A"/>
                <w:sz w:val="18"/>
                <w:szCs w:val="18"/>
              </w:rPr>
              <w:t>at</w:t>
            </w:r>
            <w:r w:rsidRPr="00130AA0">
              <w:rPr>
                <w:rFonts w:asciiTheme="minorHAnsi" w:eastAsia="Arial" w:hAnsiTheme="minorHAnsi"/>
                <w:color w:val="1A1A1A"/>
                <w:spacing w:val="3"/>
                <w:sz w:val="18"/>
                <w:szCs w:val="18"/>
              </w:rPr>
              <w:t xml:space="preserve"> </w:t>
            </w:r>
            <w:r w:rsidRPr="00130AA0">
              <w:rPr>
                <w:rFonts w:asciiTheme="minorHAnsi" w:eastAsia="Arial" w:hAnsiTheme="minorHAnsi"/>
                <w:color w:val="1A1A1A"/>
                <w:sz w:val="18"/>
                <w:szCs w:val="18"/>
              </w:rPr>
              <w:t>short</w:t>
            </w:r>
            <w:r w:rsidRPr="00130AA0">
              <w:rPr>
                <w:rFonts w:asciiTheme="minorHAnsi" w:eastAsia="Arial" w:hAnsiTheme="minorHAnsi"/>
                <w:color w:val="1A1A1A"/>
                <w:spacing w:val="9"/>
                <w:sz w:val="18"/>
                <w:szCs w:val="18"/>
              </w:rPr>
              <w:t xml:space="preserve"> </w:t>
            </w:r>
            <w:r w:rsidRPr="00130AA0">
              <w:rPr>
                <w:rFonts w:asciiTheme="minorHAnsi" w:eastAsia="Arial" w:hAnsiTheme="minorHAnsi"/>
                <w:color w:val="1A1A1A"/>
                <w:sz w:val="18"/>
                <w:szCs w:val="18"/>
              </w:rPr>
              <w:t>notice</w:t>
            </w:r>
            <w:r w:rsidRPr="00130AA0">
              <w:rPr>
                <w:rFonts w:asciiTheme="minorHAnsi" w:eastAsia="Arial" w:hAnsiTheme="minorHAnsi"/>
                <w:color w:val="1A1A1A"/>
                <w:spacing w:val="1"/>
                <w:sz w:val="18"/>
                <w:szCs w:val="18"/>
              </w:rPr>
              <w:t xml:space="preserve"> </w:t>
            </w:r>
            <w:r w:rsidRPr="00130AA0">
              <w:rPr>
                <w:rFonts w:asciiTheme="minorHAnsi" w:eastAsia="Arial" w:hAnsiTheme="minorHAnsi"/>
                <w:color w:val="1A1A1A"/>
                <w:sz w:val="18"/>
                <w:szCs w:val="18"/>
              </w:rPr>
              <w:t>and</w:t>
            </w:r>
            <w:r w:rsidRPr="00130AA0">
              <w:rPr>
                <w:rFonts w:asciiTheme="minorHAnsi" w:eastAsia="Arial" w:hAnsiTheme="minorHAnsi"/>
                <w:color w:val="1A1A1A"/>
                <w:spacing w:val="-5"/>
                <w:sz w:val="18"/>
                <w:szCs w:val="18"/>
              </w:rPr>
              <w:t xml:space="preserve"> </w:t>
            </w:r>
            <w:r w:rsidRPr="00130AA0">
              <w:rPr>
                <w:rFonts w:asciiTheme="minorHAnsi" w:eastAsia="Arial" w:hAnsiTheme="minorHAnsi"/>
                <w:color w:val="1A1A1A"/>
                <w:sz w:val="18"/>
                <w:szCs w:val="18"/>
              </w:rPr>
              <w:t>with</w:t>
            </w:r>
            <w:r w:rsidRPr="00130AA0">
              <w:rPr>
                <w:rFonts w:asciiTheme="minorHAnsi" w:eastAsia="Arial" w:hAnsiTheme="minorHAnsi"/>
                <w:color w:val="1A1A1A"/>
                <w:spacing w:val="11"/>
                <w:sz w:val="18"/>
                <w:szCs w:val="18"/>
              </w:rPr>
              <w:t xml:space="preserve"> </w:t>
            </w:r>
            <w:r w:rsidRPr="00130AA0">
              <w:rPr>
                <w:rFonts w:asciiTheme="minorHAnsi" w:eastAsia="Arial" w:hAnsiTheme="minorHAnsi"/>
                <w:color w:val="1A1A1A"/>
                <w:sz w:val="18"/>
                <w:szCs w:val="18"/>
              </w:rPr>
              <w:t>minimal</w:t>
            </w:r>
            <w:r w:rsidRPr="00130AA0">
              <w:rPr>
                <w:rFonts w:asciiTheme="minorHAnsi" w:eastAsia="Arial" w:hAnsiTheme="minorHAnsi"/>
                <w:color w:val="1A1A1A"/>
                <w:spacing w:val="4"/>
                <w:sz w:val="18"/>
                <w:szCs w:val="18"/>
              </w:rPr>
              <w:t xml:space="preserve"> </w:t>
            </w:r>
            <w:r w:rsidRPr="00130AA0">
              <w:rPr>
                <w:rFonts w:asciiTheme="minorHAnsi" w:eastAsia="Arial" w:hAnsiTheme="minorHAnsi"/>
                <w:color w:val="1A1A1A"/>
                <w:sz w:val="18"/>
                <w:szCs w:val="18"/>
              </w:rPr>
              <w:t>risk</w:t>
            </w:r>
            <w:r w:rsidRPr="00130AA0">
              <w:rPr>
                <w:rFonts w:asciiTheme="minorHAnsi" w:eastAsia="Arial" w:hAnsiTheme="minorHAnsi"/>
                <w:color w:val="1A1A1A"/>
                <w:spacing w:val="-6"/>
                <w:sz w:val="18"/>
                <w:szCs w:val="18"/>
              </w:rPr>
              <w:t xml:space="preserve"> </w:t>
            </w:r>
            <w:r w:rsidRPr="00130AA0">
              <w:rPr>
                <w:rFonts w:asciiTheme="minorHAnsi" w:eastAsia="Arial" w:hAnsiTheme="minorHAnsi"/>
                <w:color w:val="1A1A1A"/>
                <w:sz w:val="18"/>
                <w:szCs w:val="18"/>
              </w:rPr>
              <w:t>of</w:t>
            </w:r>
            <w:r w:rsidRPr="00130AA0">
              <w:rPr>
                <w:rFonts w:asciiTheme="minorHAnsi" w:eastAsia="Arial" w:hAnsiTheme="minorHAnsi"/>
                <w:color w:val="1A1A1A"/>
                <w:spacing w:val="-1"/>
                <w:sz w:val="18"/>
                <w:szCs w:val="18"/>
              </w:rPr>
              <w:t xml:space="preserve"> </w:t>
            </w:r>
            <w:r w:rsidRPr="00130AA0">
              <w:rPr>
                <w:rFonts w:asciiTheme="minorHAnsi" w:eastAsia="Arial" w:hAnsiTheme="minorHAnsi"/>
                <w:color w:val="1A1A1A"/>
                <w:sz w:val="18"/>
                <w:szCs w:val="18"/>
              </w:rPr>
              <w:t>capital loss</w:t>
            </w:r>
            <w:r w:rsidRPr="00130AA0">
              <w:rPr>
                <w:rFonts w:asciiTheme="minorHAnsi" w:hAnsiTheme="minorHAnsi"/>
                <w:sz w:val="18"/>
                <w:szCs w:val="18"/>
              </w:rPr>
              <w:tab/>
            </w:r>
          </w:p>
        </w:tc>
        <w:tc>
          <w:tcPr>
            <w:tcW w:w="3969" w:type="dxa"/>
          </w:tcPr>
          <w:p w14:paraId="6FAC081A" w14:textId="18C1BA87" w:rsidR="00625D44" w:rsidRDefault="00625D44" w:rsidP="00625D44">
            <w:pPr>
              <w:jc w:val="both"/>
              <w:rPr>
                <w:rFonts w:asciiTheme="minorHAnsi" w:hAnsiTheme="minorHAnsi"/>
                <w:i/>
                <w:sz w:val="18"/>
                <w:szCs w:val="18"/>
              </w:rPr>
            </w:pPr>
            <w:r>
              <w:rPr>
                <w:rFonts w:asciiTheme="minorHAnsi" w:hAnsiTheme="minorHAnsi"/>
                <w:i/>
                <w:sz w:val="18"/>
                <w:szCs w:val="18"/>
              </w:rPr>
              <w:t xml:space="preserve">To invest </w:t>
            </w:r>
            <w:r w:rsidR="00CE39B4">
              <w:rPr>
                <w:rFonts w:asciiTheme="minorHAnsi" w:hAnsiTheme="minorHAnsi"/>
                <w:i/>
                <w:sz w:val="18"/>
                <w:szCs w:val="18"/>
              </w:rPr>
              <w:t xml:space="preserve">mainly </w:t>
            </w:r>
            <w:r>
              <w:rPr>
                <w:rFonts w:asciiTheme="minorHAnsi" w:hAnsiTheme="minorHAnsi"/>
                <w:i/>
                <w:sz w:val="18"/>
                <w:szCs w:val="18"/>
              </w:rPr>
              <w:t xml:space="preserve">in the </w:t>
            </w:r>
            <w:r w:rsidR="006826B8">
              <w:rPr>
                <w:rFonts w:asciiTheme="minorHAnsi" w:hAnsiTheme="minorHAnsi"/>
                <w:i/>
                <w:sz w:val="18"/>
                <w:szCs w:val="18"/>
              </w:rPr>
              <w:t>Epworth Cash Plus</w:t>
            </w:r>
            <w:r>
              <w:rPr>
                <w:rFonts w:asciiTheme="minorHAnsi" w:hAnsiTheme="minorHAnsi"/>
                <w:i/>
                <w:sz w:val="18"/>
                <w:szCs w:val="18"/>
              </w:rPr>
              <w:t xml:space="preserve"> Fund for Charities managed by Epworth Investment Management</w:t>
            </w:r>
            <w:r w:rsidR="00CE39B4">
              <w:rPr>
                <w:rFonts w:asciiTheme="minorHAnsi" w:hAnsiTheme="minorHAnsi"/>
                <w:i/>
                <w:sz w:val="18"/>
                <w:szCs w:val="18"/>
              </w:rPr>
              <w:t>.</w:t>
            </w:r>
          </w:p>
          <w:p w14:paraId="35BFAE54" w14:textId="77777777" w:rsidR="00CE39B4" w:rsidRDefault="00CE39B4" w:rsidP="00625D44">
            <w:pPr>
              <w:jc w:val="both"/>
              <w:rPr>
                <w:rFonts w:asciiTheme="minorHAnsi" w:hAnsiTheme="minorHAnsi"/>
                <w:i/>
                <w:sz w:val="18"/>
                <w:szCs w:val="18"/>
              </w:rPr>
            </w:pPr>
            <w:r>
              <w:rPr>
                <w:rFonts w:asciiTheme="minorHAnsi" w:hAnsiTheme="minorHAnsi"/>
                <w:i/>
                <w:sz w:val="18"/>
                <w:szCs w:val="18"/>
              </w:rPr>
              <w:t>No more than 5% of the Fund may be lent to the Methodist Council, subject to approval of terms by the CFB Council</w:t>
            </w:r>
          </w:p>
          <w:p w14:paraId="158FA11D" w14:textId="77777777" w:rsidR="00625D44" w:rsidRPr="00130AA0" w:rsidRDefault="00625D44" w:rsidP="00625D44">
            <w:pPr>
              <w:jc w:val="both"/>
              <w:rPr>
                <w:rFonts w:asciiTheme="minorHAnsi" w:hAnsiTheme="minorHAnsi"/>
                <w:i/>
                <w:sz w:val="18"/>
                <w:szCs w:val="18"/>
              </w:rPr>
            </w:pPr>
          </w:p>
        </w:tc>
      </w:tr>
    </w:tbl>
    <w:p w14:paraId="0F1364FB" w14:textId="77777777" w:rsidR="00625D44" w:rsidRPr="002140AC" w:rsidRDefault="00625D44" w:rsidP="00625D44">
      <w:pPr>
        <w:spacing w:after="0" w:line="240" w:lineRule="auto"/>
        <w:jc w:val="both"/>
        <w:rPr>
          <w:b/>
        </w:rPr>
      </w:pPr>
    </w:p>
    <w:p w14:paraId="7615A52E" w14:textId="51632638" w:rsidR="00625D44" w:rsidRPr="002140AC" w:rsidRDefault="0007368E" w:rsidP="00625D44">
      <w:pPr>
        <w:spacing w:after="0" w:line="240" w:lineRule="auto"/>
        <w:jc w:val="both"/>
        <w:rPr>
          <w:b/>
        </w:rPr>
      </w:pPr>
      <w:r>
        <w:rPr>
          <w:b/>
        </w:rPr>
        <w:t xml:space="preserve">CFB </w:t>
      </w:r>
      <w:r w:rsidR="00625D44" w:rsidRPr="002140AC">
        <w:rPr>
          <w:b/>
        </w:rPr>
        <w:t xml:space="preserve">Managed Fixed </w:t>
      </w:r>
      <w:r w:rsidR="00A942BA">
        <w:rPr>
          <w:b/>
        </w:rPr>
        <w:t xml:space="preserve">Interest </w:t>
      </w:r>
      <w:r w:rsidR="00625D44" w:rsidRPr="002140AC">
        <w:rPr>
          <w:b/>
        </w:rPr>
        <w:t>Fund</w:t>
      </w:r>
    </w:p>
    <w:tbl>
      <w:tblPr>
        <w:tblStyle w:val="TableGrid"/>
        <w:tblW w:w="5353" w:type="dxa"/>
        <w:tblLayout w:type="fixed"/>
        <w:tblLook w:val="04A0" w:firstRow="1" w:lastRow="0" w:firstColumn="1" w:lastColumn="0" w:noHBand="0" w:noVBand="1"/>
      </w:tblPr>
      <w:tblGrid>
        <w:gridCol w:w="5353"/>
      </w:tblGrid>
      <w:tr w:rsidR="001E3198" w14:paraId="47A18C31" w14:textId="5A9562AA" w:rsidTr="0041656A">
        <w:trPr>
          <w:trHeight w:val="300"/>
        </w:trPr>
        <w:tc>
          <w:tcPr>
            <w:tcW w:w="5353" w:type="dxa"/>
          </w:tcPr>
          <w:p w14:paraId="376ED829" w14:textId="77777777" w:rsidR="001E3198" w:rsidRDefault="001E3198" w:rsidP="001E3198">
            <w:pPr>
              <w:jc w:val="both"/>
              <w:rPr>
                <w:b/>
              </w:rPr>
            </w:pPr>
            <w:r>
              <w:rPr>
                <w:b/>
              </w:rPr>
              <w:t>Objective</w:t>
            </w:r>
          </w:p>
        </w:tc>
      </w:tr>
      <w:tr w:rsidR="001E3198" w14:paraId="4FF5F373" w14:textId="6C180B3C" w:rsidTr="0041656A">
        <w:trPr>
          <w:trHeight w:val="1150"/>
        </w:trPr>
        <w:tc>
          <w:tcPr>
            <w:tcW w:w="5353" w:type="dxa"/>
          </w:tcPr>
          <w:p w14:paraId="1B8C0926" w14:textId="6B6E4B9D" w:rsidR="001E3198" w:rsidRPr="009710E4" w:rsidRDefault="001E3198" w:rsidP="001E3198">
            <w:pPr>
              <w:spacing w:before="7" w:line="220" w:lineRule="exact"/>
              <w:ind w:right="626"/>
              <w:jc w:val="both"/>
              <w:rPr>
                <w:rFonts w:asciiTheme="minorHAnsi" w:eastAsia="Arial" w:hAnsiTheme="minorHAnsi" w:cs="Arial"/>
                <w:sz w:val="18"/>
                <w:szCs w:val="18"/>
              </w:rPr>
            </w:pPr>
            <w:bookmarkStart w:id="0" w:name="_Hlk151541552"/>
            <w:r w:rsidRPr="009710E4">
              <w:rPr>
                <w:rFonts w:asciiTheme="minorHAnsi" w:eastAsia="Arial" w:hAnsiTheme="minorHAnsi" w:cs="Arial"/>
                <w:color w:val="1A1A1A"/>
                <w:sz w:val="18"/>
                <w:szCs w:val="18"/>
              </w:rPr>
              <w:t>Over</w:t>
            </w:r>
            <w:r w:rsidRPr="009710E4">
              <w:rPr>
                <w:rFonts w:asciiTheme="minorHAnsi" w:eastAsia="Arial" w:hAnsiTheme="minorHAnsi" w:cs="Arial"/>
                <w:color w:val="1A1A1A"/>
                <w:spacing w:val="1"/>
                <w:sz w:val="18"/>
                <w:szCs w:val="18"/>
              </w:rPr>
              <w:t xml:space="preserve"> </w:t>
            </w:r>
            <w:r w:rsidRPr="009710E4">
              <w:rPr>
                <w:rFonts w:asciiTheme="minorHAnsi" w:eastAsia="Arial" w:hAnsiTheme="minorHAnsi" w:cs="Arial"/>
                <w:color w:val="1A1A1A"/>
                <w:sz w:val="18"/>
                <w:szCs w:val="18"/>
              </w:rPr>
              <w:t>rolling</w:t>
            </w:r>
            <w:r w:rsidRPr="009710E4">
              <w:rPr>
                <w:rFonts w:asciiTheme="minorHAnsi" w:eastAsia="Arial" w:hAnsiTheme="minorHAnsi" w:cs="Arial"/>
                <w:color w:val="1A1A1A"/>
                <w:spacing w:val="-18"/>
                <w:sz w:val="18"/>
                <w:szCs w:val="18"/>
              </w:rPr>
              <w:t xml:space="preserve"> </w:t>
            </w:r>
            <w:proofErr w:type="gramStart"/>
            <w:r w:rsidRPr="009710E4">
              <w:rPr>
                <w:rFonts w:asciiTheme="minorHAnsi" w:eastAsia="Arial" w:hAnsiTheme="minorHAnsi" w:cs="Arial"/>
                <w:color w:val="1A1A1A"/>
                <w:sz w:val="18"/>
                <w:szCs w:val="18"/>
              </w:rPr>
              <w:t>five</w:t>
            </w:r>
            <w:r w:rsidRPr="009710E4">
              <w:rPr>
                <w:rFonts w:asciiTheme="minorHAnsi" w:eastAsia="Arial" w:hAnsiTheme="minorHAnsi" w:cs="Arial"/>
                <w:color w:val="1A1A1A"/>
                <w:spacing w:val="8"/>
                <w:sz w:val="18"/>
                <w:szCs w:val="18"/>
              </w:rPr>
              <w:t xml:space="preserve"> </w:t>
            </w:r>
            <w:r w:rsidRPr="009710E4">
              <w:rPr>
                <w:rFonts w:asciiTheme="minorHAnsi" w:eastAsia="Arial" w:hAnsiTheme="minorHAnsi" w:cs="Arial"/>
                <w:color w:val="1A1A1A"/>
                <w:sz w:val="18"/>
                <w:szCs w:val="18"/>
              </w:rPr>
              <w:t>year</w:t>
            </w:r>
            <w:proofErr w:type="gramEnd"/>
            <w:r w:rsidRPr="009710E4">
              <w:rPr>
                <w:rFonts w:asciiTheme="minorHAnsi" w:eastAsia="Arial" w:hAnsiTheme="minorHAnsi" w:cs="Arial"/>
                <w:color w:val="1A1A1A"/>
                <w:spacing w:val="12"/>
                <w:sz w:val="18"/>
                <w:szCs w:val="18"/>
              </w:rPr>
              <w:t xml:space="preserve"> </w:t>
            </w:r>
            <w:r w:rsidRPr="009710E4">
              <w:rPr>
                <w:rFonts w:asciiTheme="minorHAnsi" w:eastAsia="Arial" w:hAnsiTheme="minorHAnsi" w:cs="Arial"/>
                <w:color w:val="1A1A1A"/>
                <w:sz w:val="18"/>
                <w:szCs w:val="18"/>
              </w:rPr>
              <w:t>periods</w:t>
            </w:r>
            <w:r w:rsidRPr="009710E4">
              <w:rPr>
                <w:rFonts w:asciiTheme="minorHAnsi" w:eastAsia="Arial" w:hAnsiTheme="minorHAnsi" w:cs="Arial"/>
                <w:color w:val="2F2F2F"/>
                <w:sz w:val="18"/>
                <w:szCs w:val="18"/>
              </w:rPr>
              <w:t>,</w:t>
            </w:r>
            <w:r w:rsidRPr="009710E4">
              <w:rPr>
                <w:rFonts w:asciiTheme="minorHAnsi" w:eastAsia="Arial" w:hAnsiTheme="minorHAnsi" w:cs="Arial"/>
                <w:color w:val="2F2F2F"/>
                <w:spacing w:val="-4"/>
                <w:sz w:val="18"/>
                <w:szCs w:val="18"/>
              </w:rPr>
              <w:t xml:space="preserve"> </w:t>
            </w:r>
            <w:r w:rsidRPr="009710E4">
              <w:rPr>
                <w:rFonts w:asciiTheme="minorHAnsi" w:eastAsia="Arial" w:hAnsiTheme="minorHAnsi" w:cs="Arial"/>
                <w:color w:val="1A1A1A"/>
                <w:sz w:val="18"/>
                <w:szCs w:val="18"/>
              </w:rPr>
              <w:t>to</w:t>
            </w:r>
            <w:r w:rsidRPr="009710E4">
              <w:rPr>
                <w:rFonts w:asciiTheme="minorHAnsi" w:eastAsia="Arial" w:hAnsiTheme="minorHAnsi" w:cs="Arial"/>
                <w:color w:val="1A1A1A"/>
                <w:spacing w:val="3"/>
                <w:sz w:val="18"/>
                <w:szCs w:val="18"/>
              </w:rPr>
              <w:t xml:space="preserve"> </w:t>
            </w:r>
            <w:r w:rsidRPr="009710E4">
              <w:rPr>
                <w:rFonts w:asciiTheme="minorHAnsi" w:eastAsia="Arial" w:hAnsiTheme="minorHAnsi" w:cs="Arial"/>
                <w:color w:val="1A1A1A"/>
                <w:sz w:val="18"/>
                <w:szCs w:val="18"/>
              </w:rPr>
              <w:t>achieve</w:t>
            </w:r>
            <w:r w:rsidRPr="009710E4">
              <w:rPr>
                <w:rFonts w:asciiTheme="minorHAnsi" w:eastAsia="Arial" w:hAnsiTheme="minorHAnsi" w:cs="Arial"/>
                <w:color w:val="424242"/>
                <w:sz w:val="18"/>
                <w:szCs w:val="18"/>
              </w:rPr>
              <w:t xml:space="preserve">, </w:t>
            </w:r>
            <w:r w:rsidRPr="009710E4">
              <w:rPr>
                <w:rFonts w:asciiTheme="minorHAnsi" w:eastAsia="Arial" w:hAnsiTheme="minorHAnsi" w:cs="Arial"/>
                <w:color w:val="1A1A1A"/>
                <w:sz w:val="18"/>
                <w:szCs w:val="18"/>
              </w:rPr>
              <w:t>a</w:t>
            </w:r>
            <w:r w:rsidRPr="009710E4">
              <w:rPr>
                <w:rFonts w:asciiTheme="minorHAnsi" w:eastAsia="Arial" w:hAnsiTheme="minorHAnsi" w:cs="Arial"/>
                <w:color w:val="1A1A1A"/>
                <w:spacing w:val="1"/>
                <w:sz w:val="18"/>
                <w:szCs w:val="18"/>
              </w:rPr>
              <w:t xml:space="preserve"> </w:t>
            </w:r>
            <w:r w:rsidRPr="009710E4">
              <w:rPr>
                <w:rFonts w:asciiTheme="minorHAnsi" w:eastAsia="Arial" w:hAnsiTheme="minorHAnsi" w:cs="Arial"/>
                <w:color w:val="1A1A1A"/>
                <w:sz w:val="18"/>
                <w:szCs w:val="18"/>
              </w:rPr>
              <w:t>total</w:t>
            </w:r>
            <w:r w:rsidRPr="009710E4">
              <w:rPr>
                <w:rFonts w:asciiTheme="minorHAnsi" w:eastAsia="Arial" w:hAnsiTheme="minorHAnsi" w:cs="Arial"/>
                <w:color w:val="1A1A1A"/>
                <w:spacing w:val="8"/>
                <w:sz w:val="18"/>
                <w:szCs w:val="18"/>
              </w:rPr>
              <w:t xml:space="preserve"> </w:t>
            </w:r>
            <w:r w:rsidRPr="009710E4">
              <w:rPr>
                <w:rFonts w:asciiTheme="minorHAnsi" w:eastAsia="Arial" w:hAnsiTheme="minorHAnsi" w:cs="Arial"/>
                <w:color w:val="1A1A1A"/>
                <w:sz w:val="18"/>
                <w:szCs w:val="18"/>
              </w:rPr>
              <w:t>return</w:t>
            </w:r>
            <w:r w:rsidRPr="009710E4">
              <w:rPr>
                <w:rFonts w:asciiTheme="minorHAnsi" w:eastAsia="Arial" w:hAnsiTheme="minorHAnsi" w:cs="Arial"/>
                <w:color w:val="1A1A1A"/>
                <w:spacing w:val="3"/>
                <w:sz w:val="18"/>
                <w:szCs w:val="18"/>
              </w:rPr>
              <w:t xml:space="preserve"> </w:t>
            </w:r>
            <w:r w:rsidRPr="009710E4">
              <w:rPr>
                <w:rFonts w:asciiTheme="minorHAnsi" w:eastAsia="Arial" w:hAnsiTheme="minorHAnsi" w:cs="Arial"/>
                <w:color w:val="1A1A1A"/>
                <w:sz w:val="18"/>
                <w:szCs w:val="18"/>
              </w:rPr>
              <w:t>equal</w:t>
            </w:r>
            <w:r w:rsidRPr="009710E4">
              <w:rPr>
                <w:rFonts w:asciiTheme="minorHAnsi" w:eastAsia="Arial" w:hAnsiTheme="minorHAnsi" w:cs="Arial"/>
                <w:color w:val="1A1A1A"/>
                <w:spacing w:val="-2"/>
                <w:sz w:val="18"/>
                <w:szCs w:val="18"/>
              </w:rPr>
              <w:t xml:space="preserve"> </w:t>
            </w:r>
            <w:r w:rsidRPr="009710E4">
              <w:rPr>
                <w:rFonts w:asciiTheme="minorHAnsi" w:eastAsia="Arial" w:hAnsiTheme="minorHAnsi" w:cs="Arial"/>
                <w:color w:val="1A1A1A"/>
                <w:sz w:val="18"/>
                <w:szCs w:val="18"/>
              </w:rPr>
              <w:t>to</w:t>
            </w:r>
            <w:r w:rsidRPr="009710E4">
              <w:rPr>
                <w:rFonts w:asciiTheme="minorHAnsi" w:eastAsia="Arial" w:hAnsiTheme="minorHAnsi" w:cs="Arial"/>
                <w:color w:val="1A1A1A"/>
                <w:spacing w:val="8"/>
                <w:sz w:val="18"/>
                <w:szCs w:val="18"/>
              </w:rPr>
              <w:t xml:space="preserve"> </w:t>
            </w:r>
            <w:r w:rsidRPr="009710E4">
              <w:rPr>
                <w:rFonts w:asciiTheme="minorHAnsi" w:eastAsia="Arial" w:hAnsiTheme="minorHAnsi" w:cs="Arial"/>
                <w:color w:val="1A1A1A"/>
                <w:sz w:val="18"/>
                <w:szCs w:val="18"/>
              </w:rPr>
              <w:t>or</w:t>
            </w:r>
            <w:r w:rsidRPr="009710E4">
              <w:rPr>
                <w:rFonts w:asciiTheme="minorHAnsi" w:eastAsia="Arial" w:hAnsiTheme="minorHAnsi" w:cs="Arial"/>
                <w:color w:val="1A1A1A"/>
                <w:spacing w:val="7"/>
                <w:sz w:val="18"/>
                <w:szCs w:val="18"/>
              </w:rPr>
              <w:t xml:space="preserve"> </w:t>
            </w:r>
            <w:proofErr w:type="gramStart"/>
            <w:r w:rsidRPr="009710E4">
              <w:rPr>
                <w:rFonts w:asciiTheme="minorHAnsi" w:eastAsia="Arial" w:hAnsiTheme="minorHAnsi" w:cs="Arial"/>
                <w:color w:val="1A1A1A"/>
                <w:sz w:val="18"/>
                <w:szCs w:val="18"/>
              </w:rPr>
              <w:t>in excess</w:t>
            </w:r>
            <w:r w:rsidRPr="009710E4">
              <w:rPr>
                <w:rFonts w:asciiTheme="minorHAnsi" w:eastAsia="Arial" w:hAnsiTheme="minorHAnsi" w:cs="Arial"/>
                <w:color w:val="1A1A1A"/>
                <w:spacing w:val="4"/>
                <w:sz w:val="18"/>
                <w:szCs w:val="18"/>
              </w:rPr>
              <w:t xml:space="preserve"> </w:t>
            </w:r>
            <w:r w:rsidRPr="009710E4">
              <w:rPr>
                <w:rFonts w:asciiTheme="minorHAnsi" w:eastAsia="Arial" w:hAnsiTheme="minorHAnsi" w:cs="Arial"/>
                <w:color w:val="1A1A1A"/>
                <w:sz w:val="18"/>
                <w:szCs w:val="18"/>
              </w:rPr>
              <w:t>of</w:t>
            </w:r>
            <w:proofErr w:type="gramEnd"/>
            <w:r w:rsidRPr="009710E4">
              <w:rPr>
                <w:rFonts w:asciiTheme="minorHAnsi" w:eastAsia="Arial" w:hAnsiTheme="minorHAnsi" w:cs="Arial"/>
                <w:color w:val="1A1A1A"/>
                <w:spacing w:val="-1"/>
                <w:sz w:val="18"/>
                <w:szCs w:val="18"/>
              </w:rPr>
              <w:t xml:space="preserve"> </w:t>
            </w:r>
            <w:r w:rsidRPr="009710E4">
              <w:rPr>
                <w:rFonts w:asciiTheme="minorHAnsi" w:eastAsia="Arial" w:hAnsiTheme="minorHAnsi" w:cs="Arial"/>
                <w:color w:val="1A1A1A"/>
                <w:sz w:val="18"/>
                <w:szCs w:val="18"/>
              </w:rPr>
              <w:t>the</w:t>
            </w:r>
            <w:r w:rsidRPr="009710E4">
              <w:rPr>
                <w:rFonts w:asciiTheme="minorHAnsi" w:eastAsia="Arial" w:hAnsiTheme="minorHAnsi" w:cs="Arial"/>
                <w:color w:val="1A1A1A"/>
                <w:spacing w:val="3"/>
                <w:sz w:val="18"/>
                <w:szCs w:val="18"/>
              </w:rPr>
              <w:t xml:space="preserve"> </w:t>
            </w:r>
            <w:r w:rsidRPr="009710E4">
              <w:rPr>
                <w:rFonts w:asciiTheme="minorHAnsi" w:eastAsia="Arial" w:hAnsiTheme="minorHAnsi" w:cs="Arial"/>
                <w:color w:val="1A1A1A"/>
                <w:sz w:val="18"/>
                <w:szCs w:val="18"/>
              </w:rPr>
              <w:t>UK</w:t>
            </w:r>
            <w:r w:rsidRPr="009710E4">
              <w:rPr>
                <w:rFonts w:asciiTheme="minorHAnsi" w:eastAsia="Arial" w:hAnsiTheme="minorHAnsi" w:cs="Arial"/>
                <w:color w:val="1A1A1A"/>
                <w:spacing w:val="-9"/>
                <w:sz w:val="18"/>
                <w:szCs w:val="18"/>
              </w:rPr>
              <w:t xml:space="preserve"> </w:t>
            </w:r>
            <w:r w:rsidRPr="009710E4">
              <w:rPr>
                <w:rFonts w:asciiTheme="minorHAnsi" w:eastAsia="Arial" w:hAnsiTheme="minorHAnsi" w:cs="Arial"/>
                <w:color w:val="1A1A1A"/>
                <w:sz w:val="18"/>
                <w:szCs w:val="18"/>
              </w:rPr>
              <w:t>Government</w:t>
            </w:r>
            <w:r w:rsidRPr="009710E4">
              <w:rPr>
                <w:rFonts w:asciiTheme="minorHAnsi" w:eastAsia="Arial" w:hAnsiTheme="minorHAnsi" w:cs="Arial"/>
                <w:color w:val="1A1A1A"/>
                <w:spacing w:val="-9"/>
                <w:sz w:val="18"/>
                <w:szCs w:val="18"/>
              </w:rPr>
              <w:t xml:space="preserve"> </w:t>
            </w:r>
            <w:r w:rsidRPr="009710E4">
              <w:rPr>
                <w:rFonts w:asciiTheme="minorHAnsi" w:eastAsia="Arial" w:hAnsiTheme="minorHAnsi" w:cs="Arial"/>
                <w:color w:val="1A1A1A"/>
                <w:sz w:val="18"/>
                <w:szCs w:val="18"/>
              </w:rPr>
              <w:t>fixed</w:t>
            </w:r>
            <w:r w:rsidRPr="009710E4">
              <w:rPr>
                <w:rFonts w:asciiTheme="minorHAnsi" w:eastAsia="Arial" w:hAnsiTheme="minorHAnsi" w:cs="Arial"/>
                <w:color w:val="1A1A1A"/>
                <w:spacing w:val="13"/>
                <w:sz w:val="18"/>
                <w:szCs w:val="18"/>
              </w:rPr>
              <w:t xml:space="preserve"> </w:t>
            </w:r>
            <w:r w:rsidRPr="009710E4">
              <w:rPr>
                <w:rFonts w:asciiTheme="minorHAnsi" w:eastAsia="Arial" w:hAnsiTheme="minorHAnsi" w:cs="Arial"/>
                <w:color w:val="1A1A1A"/>
                <w:sz w:val="18"/>
                <w:szCs w:val="18"/>
              </w:rPr>
              <w:t>interest</w:t>
            </w:r>
            <w:r w:rsidRPr="009710E4">
              <w:rPr>
                <w:rFonts w:asciiTheme="minorHAnsi" w:eastAsia="Arial" w:hAnsiTheme="minorHAnsi" w:cs="Arial"/>
                <w:color w:val="1A1A1A"/>
                <w:spacing w:val="-6"/>
                <w:sz w:val="18"/>
                <w:szCs w:val="18"/>
              </w:rPr>
              <w:t xml:space="preserve"> </w:t>
            </w:r>
            <w:r w:rsidRPr="009710E4">
              <w:rPr>
                <w:rFonts w:asciiTheme="minorHAnsi" w:eastAsia="Arial" w:hAnsiTheme="minorHAnsi" w:cs="Arial"/>
                <w:color w:val="1A1A1A"/>
                <w:sz w:val="18"/>
                <w:szCs w:val="18"/>
              </w:rPr>
              <w:t>market.</w:t>
            </w:r>
          </w:p>
          <w:bookmarkEnd w:id="0"/>
          <w:p w14:paraId="6647A602" w14:textId="77777777" w:rsidR="001E3198" w:rsidRDefault="001E3198" w:rsidP="001E3198">
            <w:pPr>
              <w:jc w:val="both"/>
              <w:rPr>
                <w:b/>
              </w:rPr>
            </w:pPr>
          </w:p>
        </w:tc>
      </w:tr>
    </w:tbl>
    <w:p w14:paraId="2C0C1996" w14:textId="1F396555" w:rsidR="00625D44" w:rsidRPr="002140AC" w:rsidRDefault="0007368E" w:rsidP="00625D44">
      <w:pPr>
        <w:spacing w:after="0" w:line="240" w:lineRule="auto"/>
        <w:jc w:val="both"/>
        <w:rPr>
          <w:b/>
        </w:rPr>
      </w:pPr>
      <w:r>
        <w:rPr>
          <w:b/>
        </w:rPr>
        <w:t xml:space="preserve">CFB </w:t>
      </w:r>
      <w:r w:rsidR="00625D44" w:rsidRPr="002140AC">
        <w:rPr>
          <w:b/>
        </w:rPr>
        <w:t>Managed Equity Fund</w:t>
      </w:r>
    </w:p>
    <w:tbl>
      <w:tblPr>
        <w:tblStyle w:val="TableGrid"/>
        <w:tblW w:w="5353" w:type="dxa"/>
        <w:tblLayout w:type="fixed"/>
        <w:tblLook w:val="04A0" w:firstRow="1" w:lastRow="0" w:firstColumn="1" w:lastColumn="0" w:noHBand="0" w:noVBand="1"/>
      </w:tblPr>
      <w:tblGrid>
        <w:gridCol w:w="5353"/>
      </w:tblGrid>
      <w:tr w:rsidR="001E3198" w14:paraId="5E7D2F00" w14:textId="5325B937" w:rsidTr="0041656A">
        <w:trPr>
          <w:trHeight w:val="375"/>
        </w:trPr>
        <w:tc>
          <w:tcPr>
            <w:tcW w:w="5353" w:type="dxa"/>
          </w:tcPr>
          <w:p w14:paraId="673E6702" w14:textId="77777777" w:rsidR="001E3198" w:rsidRDefault="001E3198" w:rsidP="001E3198">
            <w:pPr>
              <w:jc w:val="both"/>
              <w:rPr>
                <w:b/>
              </w:rPr>
            </w:pPr>
            <w:r>
              <w:rPr>
                <w:b/>
              </w:rPr>
              <w:t>Objective</w:t>
            </w:r>
          </w:p>
        </w:tc>
      </w:tr>
      <w:tr w:rsidR="001E3198" w14:paraId="7B77E725" w14:textId="13071AF3" w:rsidTr="0041656A">
        <w:trPr>
          <w:trHeight w:val="460"/>
        </w:trPr>
        <w:tc>
          <w:tcPr>
            <w:tcW w:w="5353" w:type="dxa"/>
          </w:tcPr>
          <w:p w14:paraId="0380FBFB" w14:textId="0E341CB0" w:rsidR="001E3198" w:rsidRPr="009710E4" w:rsidRDefault="001E3198" w:rsidP="001E3198">
            <w:pPr>
              <w:spacing w:before="12" w:line="220" w:lineRule="exact"/>
              <w:ind w:right="459"/>
              <w:jc w:val="both"/>
              <w:rPr>
                <w:rFonts w:asciiTheme="minorHAnsi" w:eastAsia="Arial" w:hAnsiTheme="minorHAnsi" w:cs="Arial"/>
                <w:sz w:val="18"/>
                <w:szCs w:val="18"/>
              </w:rPr>
            </w:pPr>
            <w:r w:rsidRPr="009710E4">
              <w:rPr>
                <w:rFonts w:asciiTheme="minorHAnsi" w:eastAsia="Arial" w:hAnsiTheme="minorHAnsi" w:cs="Arial"/>
                <w:color w:val="1A1A1A"/>
                <w:sz w:val="18"/>
                <w:szCs w:val="18"/>
              </w:rPr>
              <w:t>Over</w:t>
            </w:r>
            <w:r w:rsidRPr="009710E4">
              <w:rPr>
                <w:rFonts w:asciiTheme="minorHAnsi" w:eastAsia="Arial" w:hAnsiTheme="minorHAnsi" w:cs="Arial"/>
                <w:color w:val="1A1A1A"/>
                <w:spacing w:val="1"/>
                <w:sz w:val="18"/>
                <w:szCs w:val="18"/>
              </w:rPr>
              <w:t xml:space="preserve"> </w:t>
            </w:r>
            <w:r w:rsidRPr="009710E4">
              <w:rPr>
                <w:rFonts w:asciiTheme="minorHAnsi" w:eastAsia="Arial" w:hAnsiTheme="minorHAnsi" w:cs="Arial"/>
                <w:color w:val="1A1A1A"/>
                <w:sz w:val="18"/>
                <w:szCs w:val="18"/>
              </w:rPr>
              <w:t>rolling</w:t>
            </w:r>
            <w:r w:rsidRPr="009710E4">
              <w:rPr>
                <w:rFonts w:asciiTheme="minorHAnsi" w:eastAsia="Arial" w:hAnsiTheme="minorHAnsi" w:cs="Arial"/>
                <w:color w:val="1A1A1A"/>
                <w:spacing w:val="-18"/>
                <w:sz w:val="18"/>
                <w:szCs w:val="18"/>
              </w:rPr>
              <w:t xml:space="preserve"> </w:t>
            </w:r>
            <w:proofErr w:type="gramStart"/>
            <w:r w:rsidRPr="009710E4">
              <w:rPr>
                <w:rFonts w:asciiTheme="minorHAnsi" w:eastAsia="Arial" w:hAnsiTheme="minorHAnsi" w:cs="Arial"/>
                <w:color w:val="1A1A1A"/>
                <w:sz w:val="18"/>
                <w:szCs w:val="18"/>
              </w:rPr>
              <w:t>five</w:t>
            </w:r>
            <w:r w:rsidRPr="009710E4">
              <w:rPr>
                <w:rFonts w:asciiTheme="minorHAnsi" w:eastAsia="Arial" w:hAnsiTheme="minorHAnsi" w:cs="Arial"/>
                <w:color w:val="1A1A1A"/>
                <w:spacing w:val="8"/>
                <w:sz w:val="18"/>
                <w:szCs w:val="18"/>
              </w:rPr>
              <w:t xml:space="preserve"> </w:t>
            </w:r>
            <w:r w:rsidRPr="009710E4">
              <w:rPr>
                <w:rFonts w:asciiTheme="minorHAnsi" w:eastAsia="Arial" w:hAnsiTheme="minorHAnsi" w:cs="Arial"/>
                <w:color w:val="1A1A1A"/>
                <w:sz w:val="18"/>
                <w:szCs w:val="18"/>
              </w:rPr>
              <w:t>year</w:t>
            </w:r>
            <w:proofErr w:type="gramEnd"/>
            <w:r w:rsidRPr="009710E4">
              <w:rPr>
                <w:rFonts w:asciiTheme="minorHAnsi" w:eastAsia="Arial" w:hAnsiTheme="minorHAnsi" w:cs="Arial"/>
                <w:color w:val="1A1A1A"/>
                <w:spacing w:val="12"/>
                <w:sz w:val="18"/>
                <w:szCs w:val="18"/>
              </w:rPr>
              <w:t xml:space="preserve"> </w:t>
            </w:r>
            <w:r w:rsidRPr="009710E4">
              <w:rPr>
                <w:rFonts w:asciiTheme="minorHAnsi" w:eastAsia="Arial" w:hAnsiTheme="minorHAnsi" w:cs="Arial"/>
                <w:color w:val="1A1A1A"/>
                <w:sz w:val="18"/>
                <w:szCs w:val="18"/>
              </w:rPr>
              <w:t>periods</w:t>
            </w:r>
            <w:r w:rsidRPr="009710E4">
              <w:rPr>
                <w:rFonts w:asciiTheme="minorHAnsi" w:eastAsia="Arial" w:hAnsiTheme="minorHAnsi" w:cs="Arial"/>
                <w:color w:val="2F2F2F"/>
                <w:sz w:val="18"/>
                <w:szCs w:val="18"/>
              </w:rPr>
              <w:t>,</w:t>
            </w:r>
            <w:r w:rsidRPr="009710E4">
              <w:rPr>
                <w:rFonts w:asciiTheme="minorHAnsi" w:eastAsia="Arial" w:hAnsiTheme="minorHAnsi" w:cs="Arial"/>
                <w:color w:val="2F2F2F"/>
                <w:spacing w:val="-4"/>
                <w:sz w:val="18"/>
                <w:szCs w:val="18"/>
              </w:rPr>
              <w:t xml:space="preserve"> </w:t>
            </w:r>
            <w:r w:rsidRPr="009710E4">
              <w:rPr>
                <w:rFonts w:asciiTheme="minorHAnsi" w:eastAsia="Arial" w:hAnsiTheme="minorHAnsi" w:cs="Arial"/>
                <w:color w:val="1A1A1A"/>
                <w:sz w:val="18"/>
                <w:szCs w:val="18"/>
              </w:rPr>
              <w:t>to</w:t>
            </w:r>
            <w:r w:rsidRPr="009710E4">
              <w:rPr>
                <w:rFonts w:asciiTheme="minorHAnsi" w:eastAsia="Arial" w:hAnsiTheme="minorHAnsi" w:cs="Arial"/>
                <w:color w:val="1A1A1A"/>
                <w:spacing w:val="-1"/>
                <w:sz w:val="18"/>
                <w:szCs w:val="18"/>
              </w:rPr>
              <w:t xml:space="preserve"> </w:t>
            </w:r>
            <w:r w:rsidRPr="009710E4">
              <w:rPr>
                <w:rFonts w:asciiTheme="minorHAnsi" w:eastAsia="Arial" w:hAnsiTheme="minorHAnsi" w:cs="Arial"/>
                <w:color w:val="1A1A1A"/>
                <w:sz w:val="18"/>
                <w:szCs w:val="18"/>
              </w:rPr>
              <w:t>achieve</w:t>
            </w:r>
            <w:r w:rsidRPr="009710E4">
              <w:rPr>
                <w:rFonts w:asciiTheme="minorHAnsi" w:eastAsia="Arial" w:hAnsiTheme="minorHAnsi" w:cs="Arial"/>
                <w:color w:val="1A1A1A"/>
                <w:spacing w:val="4"/>
                <w:sz w:val="18"/>
                <w:szCs w:val="18"/>
              </w:rPr>
              <w:t xml:space="preserve"> </w:t>
            </w:r>
            <w:r w:rsidRPr="009710E4">
              <w:rPr>
                <w:rFonts w:asciiTheme="minorHAnsi" w:eastAsia="Arial" w:hAnsiTheme="minorHAnsi" w:cs="Arial"/>
                <w:color w:val="1A1A1A"/>
                <w:sz w:val="18"/>
                <w:szCs w:val="18"/>
              </w:rPr>
              <w:t>a</w:t>
            </w:r>
            <w:r w:rsidRPr="009710E4">
              <w:rPr>
                <w:rFonts w:asciiTheme="minorHAnsi" w:eastAsia="Arial" w:hAnsiTheme="minorHAnsi" w:cs="Arial"/>
                <w:color w:val="1A1A1A"/>
                <w:spacing w:val="-3"/>
                <w:sz w:val="18"/>
                <w:szCs w:val="18"/>
              </w:rPr>
              <w:t xml:space="preserve"> </w:t>
            </w:r>
            <w:r w:rsidRPr="009710E4">
              <w:rPr>
                <w:rFonts w:asciiTheme="minorHAnsi" w:eastAsia="Arial" w:hAnsiTheme="minorHAnsi" w:cs="Arial"/>
                <w:color w:val="1A1A1A"/>
                <w:sz w:val="18"/>
                <w:szCs w:val="18"/>
              </w:rPr>
              <w:t>total return</w:t>
            </w:r>
            <w:r w:rsidRPr="009710E4">
              <w:rPr>
                <w:rFonts w:asciiTheme="minorHAnsi" w:eastAsia="Arial" w:hAnsiTheme="minorHAnsi" w:cs="Arial"/>
                <w:color w:val="1A1A1A"/>
                <w:spacing w:val="-11"/>
                <w:sz w:val="18"/>
                <w:szCs w:val="18"/>
              </w:rPr>
              <w:t xml:space="preserve"> </w:t>
            </w:r>
            <w:r w:rsidRPr="009710E4">
              <w:rPr>
                <w:rFonts w:asciiTheme="minorHAnsi" w:eastAsia="Arial" w:hAnsiTheme="minorHAnsi" w:cs="Arial"/>
                <w:color w:val="1A1A1A"/>
                <w:sz w:val="18"/>
                <w:szCs w:val="18"/>
              </w:rPr>
              <w:t>equal</w:t>
            </w:r>
            <w:r w:rsidRPr="009710E4">
              <w:rPr>
                <w:rFonts w:asciiTheme="minorHAnsi" w:eastAsia="Arial" w:hAnsiTheme="minorHAnsi" w:cs="Arial"/>
                <w:color w:val="1A1A1A"/>
                <w:spacing w:val="-7"/>
                <w:sz w:val="18"/>
                <w:szCs w:val="18"/>
              </w:rPr>
              <w:t xml:space="preserve"> </w:t>
            </w:r>
            <w:r w:rsidRPr="009710E4">
              <w:rPr>
                <w:rFonts w:asciiTheme="minorHAnsi" w:eastAsia="Arial" w:hAnsiTheme="minorHAnsi" w:cs="Arial"/>
                <w:color w:val="1A1A1A"/>
                <w:sz w:val="18"/>
                <w:szCs w:val="18"/>
              </w:rPr>
              <w:t>to</w:t>
            </w:r>
            <w:r w:rsidRPr="009710E4">
              <w:rPr>
                <w:rFonts w:asciiTheme="minorHAnsi" w:eastAsia="Arial" w:hAnsiTheme="minorHAnsi" w:cs="Arial"/>
                <w:color w:val="1A1A1A"/>
                <w:spacing w:val="3"/>
                <w:sz w:val="18"/>
                <w:szCs w:val="18"/>
              </w:rPr>
              <w:t xml:space="preserve"> </w:t>
            </w:r>
            <w:r w:rsidRPr="009710E4">
              <w:rPr>
                <w:rFonts w:asciiTheme="minorHAnsi" w:eastAsia="Arial" w:hAnsiTheme="minorHAnsi" w:cs="Arial"/>
                <w:color w:val="1A1A1A"/>
                <w:sz w:val="18"/>
                <w:szCs w:val="18"/>
              </w:rPr>
              <w:t>or</w:t>
            </w:r>
            <w:r w:rsidRPr="009710E4">
              <w:rPr>
                <w:rFonts w:asciiTheme="minorHAnsi" w:eastAsia="Arial" w:hAnsiTheme="minorHAnsi" w:cs="Arial"/>
                <w:color w:val="1A1A1A"/>
                <w:spacing w:val="7"/>
                <w:sz w:val="18"/>
                <w:szCs w:val="18"/>
              </w:rPr>
              <w:t xml:space="preserve"> </w:t>
            </w:r>
            <w:proofErr w:type="gramStart"/>
            <w:r w:rsidRPr="009710E4">
              <w:rPr>
                <w:rFonts w:asciiTheme="minorHAnsi" w:eastAsia="Arial" w:hAnsiTheme="minorHAnsi" w:cs="Arial"/>
                <w:color w:val="1A1A1A"/>
                <w:sz w:val="18"/>
                <w:szCs w:val="18"/>
              </w:rPr>
              <w:t>in excess</w:t>
            </w:r>
            <w:r w:rsidRPr="009710E4">
              <w:rPr>
                <w:rFonts w:asciiTheme="minorHAnsi" w:eastAsia="Arial" w:hAnsiTheme="minorHAnsi" w:cs="Arial"/>
                <w:color w:val="1A1A1A"/>
                <w:spacing w:val="4"/>
                <w:sz w:val="18"/>
                <w:szCs w:val="18"/>
              </w:rPr>
              <w:t xml:space="preserve"> </w:t>
            </w:r>
            <w:r w:rsidRPr="009710E4">
              <w:rPr>
                <w:rFonts w:asciiTheme="minorHAnsi" w:eastAsia="Arial" w:hAnsiTheme="minorHAnsi" w:cs="Arial"/>
                <w:color w:val="1A1A1A"/>
                <w:sz w:val="18"/>
                <w:szCs w:val="18"/>
              </w:rPr>
              <w:t>of</w:t>
            </w:r>
            <w:proofErr w:type="gramEnd"/>
            <w:r w:rsidRPr="009710E4">
              <w:rPr>
                <w:rFonts w:asciiTheme="minorHAnsi" w:eastAsia="Arial" w:hAnsiTheme="minorHAnsi" w:cs="Arial"/>
                <w:color w:val="1A1A1A"/>
                <w:spacing w:val="3"/>
                <w:sz w:val="18"/>
                <w:szCs w:val="18"/>
              </w:rPr>
              <w:t xml:space="preserve"> </w:t>
            </w:r>
            <w:r w:rsidRPr="009710E4">
              <w:rPr>
                <w:rFonts w:asciiTheme="minorHAnsi" w:eastAsia="Arial" w:hAnsiTheme="minorHAnsi" w:cs="Arial"/>
                <w:color w:val="1A1A1A"/>
                <w:sz w:val="18"/>
                <w:szCs w:val="18"/>
              </w:rPr>
              <w:t>composite</w:t>
            </w:r>
            <w:r w:rsidRPr="009710E4">
              <w:rPr>
                <w:rFonts w:asciiTheme="minorHAnsi" w:eastAsia="Arial" w:hAnsiTheme="minorHAnsi" w:cs="Arial"/>
                <w:color w:val="1A1A1A"/>
                <w:spacing w:val="14"/>
                <w:sz w:val="18"/>
                <w:szCs w:val="18"/>
              </w:rPr>
              <w:t xml:space="preserve"> </w:t>
            </w:r>
            <w:r w:rsidRPr="009710E4">
              <w:rPr>
                <w:rFonts w:asciiTheme="minorHAnsi" w:eastAsia="Arial" w:hAnsiTheme="minorHAnsi" w:cs="Arial"/>
                <w:color w:val="1A1A1A"/>
                <w:sz w:val="18"/>
                <w:szCs w:val="18"/>
              </w:rPr>
              <w:t>index</w:t>
            </w:r>
            <w:r w:rsidRPr="009710E4">
              <w:rPr>
                <w:rFonts w:asciiTheme="minorHAnsi" w:eastAsia="Arial" w:hAnsiTheme="minorHAnsi" w:cs="Arial"/>
                <w:color w:val="1A1A1A"/>
                <w:spacing w:val="-5"/>
                <w:sz w:val="18"/>
                <w:szCs w:val="18"/>
              </w:rPr>
              <w:t xml:space="preserve"> </w:t>
            </w:r>
            <w:r w:rsidRPr="009710E4">
              <w:rPr>
                <w:rFonts w:asciiTheme="minorHAnsi" w:eastAsia="Arial" w:hAnsiTheme="minorHAnsi" w:cs="Arial"/>
                <w:color w:val="1A1A1A"/>
                <w:sz w:val="18"/>
                <w:szCs w:val="18"/>
              </w:rPr>
              <w:t>measuring</w:t>
            </w:r>
            <w:r w:rsidRPr="009710E4">
              <w:rPr>
                <w:rFonts w:asciiTheme="minorHAnsi" w:eastAsia="Arial" w:hAnsiTheme="minorHAnsi" w:cs="Arial"/>
                <w:color w:val="1A1A1A"/>
                <w:spacing w:val="-18"/>
                <w:sz w:val="18"/>
                <w:szCs w:val="18"/>
              </w:rPr>
              <w:t xml:space="preserve"> </w:t>
            </w:r>
            <w:r w:rsidR="008C161E">
              <w:rPr>
                <w:rFonts w:asciiTheme="minorHAnsi" w:eastAsia="Arial" w:hAnsiTheme="minorHAnsi" w:cs="Arial"/>
                <w:color w:val="1A1A1A"/>
                <w:sz w:val="18"/>
                <w:szCs w:val="18"/>
              </w:rPr>
              <w:t xml:space="preserve">75% FTSE All World Index, 25% FTSE All Share Index. </w:t>
            </w:r>
          </w:p>
          <w:p w14:paraId="064F6BA8" w14:textId="77777777" w:rsidR="001E3198" w:rsidRDefault="001E3198" w:rsidP="001E3198">
            <w:pPr>
              <w:jc w:val="both"/>
              <w:rPr>
                <w:b/>
              </w:rPr>
            </w:pPr>
          </w:p>
        </w:tc>
      </w:tr>
    </w:tbl>
    <w:p w14:paraId="23F0EF69" w14:textId="77777777" w:rsidR="00625D44" w:rsidRPr="002140AC" w:rsidRDefault="00625D44" w:rsidP="00625D44">
      <w:pPr>
        <w:spacing w:after="0" w:line="240" w:lineRule="auto"/>
        <w:jc w:val="both"/>
        <w:rPr>
          <w:b/>
        </w:rPr>
      </w:pPr>
    </w:p>
    <w:p w14:paraId="1A4E1BF5" w14:textId="77777777" w:rsidR="00B43323" w:rsidRDefault="00B43323" w:rsidP="00625D44">
      <w:pPr>
        <w:spacing w:after="0" w:line="240" w:lineRule="auto"/>
        <w:jc w:val="both"/>
        <w:rPr>
          <w:b/>
        </w:rPr>
      </w:pPr>
    </w:p>
    <w:p w14:paraId="6D1D4FBB" w14:textId="6EF7B3C7" w:rsidR="00625D44" w:rsidRPr="002140AC" w:rsidRDefault="0007368E" w:rsidP="00625D44">
      <w:pPr>
        <w:spacing w:after="0" w:line="240" w:lineRule="auto"/>
        <w:jc w:val="both"/>
        <w:rPr>
          <w:b/>
        </w:rPr>
      </w:pPr>
      <w:r>
        <w:rPr>
          <w:b/>
        </w:rPr>
        <w:t xml:space="preserve">CFB </w:t>
      </w:r>
      <w:r w:rsidR="00625D44" w:rsidRPr="002140AC">
        <w:rPr>
          <w:b/>
        </w:rPr>
        <w:t>Managed Mixed Fund</w:t>
      </w:r>
    </w:p>
    <w:tbl>
      <w:tblPr>
        <w:tblStyle w:val="TableGrid"/>
        <w:tblW w:w="5353" w:type="dxa"/>
        <w:tblLayout w:type="fixed"/>
        <w:tblLook w:val="04A0" w:firstRow="1" w:lastRow="0" w:firstColumn="1" w:lastColumn="0" w:noHBand="0" w:noVBand="1"/>
      </w:tblPr>
      <w:tblGrid>
        <w:gridCol w:w="5353"/>
      </w:tblGrid>
      <w:tr w:rsidR="00024611" w14:paraId="7206740F" w14:textId="01502FAA" w:rsidTr="0041656A">
        <w:trPr>
          <w:trHeight w:val="300"/>
        </w:trPr>
        <w:tc>
          <w:tcPr>
            <w:tcW w:w="5353" w:type="dxa"/>
          </w:tcPr>
          <w:p w14:paraId="1888A8CE" w14:textId="77777777" w:rsidR="00024611" w:rsidRDefault="00024611" w:rsidP="00625D44">
            <w:pPr>
              <w:jc w:val="both"/>
              <w:rPr>
                <w:b/>
              </w:rPr>
            </w:pPr>
            <w:r>
              <w:rPr>
                <w:b/>
              </w:rPr>
              <w:t>Objective</w:t>
            </w:r>
          </w:p>
        </w:tc>
      </w:tr>
      <w:tr w:rsidR="00024611" w14:paraId="143DCC1F" w14:textId="10832960" w:rsidTr="0041656A">
        <w:trPr>
          <w:trHeight w:val="1428"/>
        </w:trPr>
        <w:tc>
          <w:tcPr>
            <w:tcW w:w="5353" w:type="dxa"/>
            <w:tcBorders>
              <w:right w:val="single" w:sz="4" w:space="0" w:color="auto"/>
            </w:tcBorders>
          </w:tcPr>
          <w:p w14:paraId="7C9F4EF8" w14:textId="480E82A4" w:rsidR="00024611" w:rsidRPr="00445DD6" w:rsidRDefault="00024611" w:rsidP="00625D44">
            <w:pPr>
              <w:jc w:val="both"/>
              <w:rPr>
                <w:rFonts w:asciiTheme="minorHAnsi" w:hAnsiTheme="minorHAnsi"/>
                <w:b/>
                <w:iCs/>
                <w:sz w:val="18"/>
                <w:szCs w:val="18"/>
              </w:rPr>
            </w:pPr>
            <w:r w:rsidRPr="008847F4">
              <w:rPr>
                <w:iCs/>
                <w:sz w:val="18"/>
                <w:szCs w:val="18"/>
              </w:rPr>
              <w:t>Over the long term, to provide a good level of income, with capital growing in line with inflation</w:t>
            </w:r>
            <w:r w:rsidR="009E77B1">
              <w:rPr>
                <w:iCs/>
                <w:sz w:val="18"/>
                <w:szCs w:val="18"/>
              </w:rPr>
              <w:t xml:space="preserve">. The Fund invests entirely in the WS Epworth Multi-Asset Fund for Charities. </w:t>
            </w:r>
          </w:p>
        </w:tc>
      </w:tr>
    </w:tbl>
    <w:p w14:paraId="5F007E93" w14:textId="77777777" w:rsidR="0018218D" w:rsidRDefault="0018218D" w:rsidP="00C20DF8">
      <w:pPr>
        <w:rPr>
          <w:b/>
        </w:rPr>
      </w:pPr>
    </w:p>
    <w:p w14:paraId="4705246F" w14:textId="4A54848E" w:rsidR="00625D44" w:rsidRPr="002140AC" w:rsidRDefault="00932DDC" w:rsidP="00C20DF8">
      <w:pPr>
        <w:rPr>
          <w:b/>
        </w:rPr>
      </w:pPr>
      <w:r>
        <w:rPr>
          <w:b/>
        </w:rPr>
        <w:t xml:space="preserve"> </w:t>
      </w:r>
      <w:r w:rsidR="00A6368E">
        <w:rPr>
          <w:b/>
        </w:rPr>
        <w:t xml:space="preserve">Connexional </w:t>
      </w:r>
      <w:r>
        <w:rPr>
          <w:b/>
        </w:rPr>
        <w:t>Council</w:t>
      </w:r>
      <w:r w:rsidR="00625D44" w:rsidRPr="002140AC">
        <w:rPr>
          <w:b/>
        </w:rPr>
        <w:t xml:space="preserve"> Medium Term Fund</w:t>
      </w:r>
    </w:p>
    <w:tbl>
      <w:tblPr>
        <w:tblStyle w:val="TableGrid"/>
        <w:tblW w:w="9322" w:type="dxa"/>
        <w:tblLayout w:type="fixed"/>
        <w:tblLook w:val="04A0" w:firstRow="1" w:lastRow="0" w:firstColumn="1" w:lastColumn="0" w:noHBand="0" w:noVBand="1"/>
      </w:tblPr>
      <w:tblGrid>
        <w:gridCol w:w="5353"/>
        <w:gridCol w:w="2552"/>
        <w:gridCol w:w="739"/>
        <w:gridCol w:w="678"/>
      </w:tblGrid>
      <w:tr w:rsidR="00625D44" w14:paraId="62F89CE3" w14:textId="77777777" w:rsidTr="00625D44">
        <w:tc>
          <w:tcPr>
            <w:tcW w:w="5353" w:type="dxa"/>
          </w:tcPr>
          <w:p w14:paraId="2B539FE6" w14:textId="77777777" w:rsidR="00625D44" w:rsidRDefault="00625D44" w:rsidP="00625D44">
            <w:pPr>
              <w:jc w:val="both"/>
              <w:rPr>
                <w:b/>
              </w:rPr>
            </w:pPr>
            <w:r>
              <w:rPr>
                <w:b/>
              </w:rPr>
              <w:t>Objective</w:t>
            </w:r>
          </w:p>
        </w:tc>
        <w:tc>
          <w:tcPr>
            <w:tcW w:w="3969" w:type="dxa"/>
            <w:gridSpan w:val="3"/>
          </w:tcPr>
          <w:p w14:paraId="422A11C5" w14:textId="77777777" w:rsidR="00625D44" w:rsidRDefault="00625D44" w:rsidP="00625D44">
            <w:pPr>
              <w:jc w:val="both"/>
              <w:rPr>
                <w:b/>
              </w:rPr>
            </w:pPr>
            <w:r>
              <w:rPr>
                <w:b/>
              </w:rPr>
              <w:t>Parameters</w:t>
            </w:r>
          </w:p>
        </w:tc>
      </w:tr>
      <w:tr w:rsidR="00625D44" w14:paraId="62062650" w14:textId="77777777" w:rsidTr="00625D44">
        <w:tc>
          <w:tcPr>
            <w:tcW w:w="5353" w:type="dxa"/>
            <w:vMerge w:val="restart"/>
          </w:tcPr>
          <w:p w14:paraId="76A7A700" w14:textId="77777777" w:rsidR="00625D44" w:rsidRPr="009710E4" w:rsidRDefault="00625D44" w:rsidP="00625D44">
            <w:pPr>
              <w:jc w:val="both"/>
              <w:rPr>
                <w:rFonts w:ascii="Calibri" w:hAnsi="Calibri"/>
                <w:sz w:val="18"/>
                <w:szCs w:val="18"/>
              </w:rPr>
            </w:pPr>
            <w:r w:rsidRPr="009710E4">
              <w:rPr>
                <w:rFonts w:ascii="Calibri" w:eastAsia="Arial" w:hAnsi="Calibri"/>
                <w:color w:val="1A1A1A"/>
                <w:sz w:val="18"/>
                <w:szCs w:val="18"/>
              </w:rPr>
              <w:t>Over the medium term, to provide income and to preserve nominal capital value with some prospect of capital growth</w:t>
            </w:r>
          </w:p>
        </w:tc>
        <w:tc>
          <w:tcPr>
            <w:tcW w:w="3969" w:type="dxa"/>
            <w:gridSpan w:val="3"/>
          </w:tcPr>
          <w:p w14:paraId="18BE927B" w14:textId="77777777" w:rsidR="00625D44" w:rsidRPr="00F15EC9" w:rsidRDefault="00625D44" w:rsidP="00625D44">
            <w:pPr>
              <w:jc w:val="both"/>
              <w:rPr>
                <w:rFonts w:asciiTheme="minorHAnsi" w:hAnsiTheme="minorHAnsi"/>
                <w:i/>
                <w:sz w:val="18"/>
                <w:szCs w:val="18"/>
              </w:rPr>
            </w:pPr>
            <w:r>
              <w:rPr>
                <w:rFonts w:asciiTheme="minorHAnsi" w:hAnsiTheme="minorHAnsi"/>
                <w:i/>
                <w:sz w:val="18"/>
                <w:szCs w:val="18"/>
              </w:rPr>
              <w:t>Equities 30 - 5</w:t>
            </w:r>
            <w:r w:rsidRPr="00F15EC9">
              <w:rPr>
                <w:rFonts w:asciiTheme="minorHAnsi" w:hAnsiTheme="minorHAnsi"/>
                <w:i/>
                <w:sz w:val="18"/>
                <w:szCs w:val="18"/>
              </w:rPr>
              <w:t>0%</w:t>
            </w:r>
          </w:p>
        </w:tc>
      </w:tr>
      <w:tr w:rsidR="00625D44" w14:paraId="03369BBA" w14:textId="77777777" w:rsidTr="00625D44">
        <w:tc>
          <w:tcPr>
            <w:tcW w:w="5353" w:type="dxa"/>
            <w:vMerge/>
          </w:tcPr>
          <w:p w14:paraId="20F8BCA8" w14:textId="77777777" w:rsidR="00625D44" w:rsidRDefault="00625D44" w:rsidP="00625D44">
            <w:pPr>
              <w:jc w:val="both"/>
              <w:rPr>
                <w:b/>
              </w:rPr>
            </w:pPr>
          </w:p>
        </w:tc>
        <w:tc>
          <w:tcPr>
            <w:tcW w:w="2552" w:type="dxa"/>
          </w:tcPr>
          <w:p w14:paraId="016A3A99" w14:textId="77777777" w:rsidR="00625D44" w:rsidRPr="00F15EC9" w:rsidRDefault="00625D44" w:rsidP="00625D44">
            <w:pPr>
              <w:jc w:val="both"/>
              <w:rPr>
                <w:sz w:val="18"/>
                <w:szCs w:val="18"/>
              </w:rPr>
            </w:pPr>
          </w:p>
        </w:tc>
        <w:tc>
          <w:tcPr>
            <w:tcW w:w="739" w:type="dxa"/>
          </w:tcPr>
          <w:p w14:paraId="6356B095" w14:textId="77777777" w:rsidR="00625D44" w:rsidRPr="00F15EC9" w:rsidRDefault="00625D44" w:rsidP="00625D44">
            <w:pPr>
              <w:jc w:val="both"/>
              <w:rPr>
                <w:rFonts w:asciiTheme="minorHAnsi" w:hAnsiTheme="minorHAnsi"/>
                <w:sz w:val="18"/>
                <w:szCs w:val="18"/>
              </w:rPr>
            </w:pPr>
            <w:r w:rsidRPr="00F15EC9">
              <w:rPr>
                <w:rFonts w:asciiTheme="minorHAnsi" w:hAnsiTheme="minorHAnsi"/>
                <w:sz w:val="18"/>
                <w:szCs w:val="18"/>
              </w:rPr>
              <w:t>Min%</w:t>
            </w:r>
          </w:p>
        </w:tc>
        <w:tc>
          <w:tcPr>
            <w:tcW w:w="678" w:type="dxa"/>
          </w:tcPr>
          <w:p w14:paraId="0FC13C65" w14:textId="77777777" w:rsidR="00625D44" w:rsidRPr="00F15EC9" w:rsidRDefault="00625D44" w:rsidP="00625D44">
            <w:pPr>
              <w:jc w:val="both"/>
              <w:rPr>
                <w:rFonts w:asciiTheme="minorHAnsi" w:hAnsiTheme="minorHAnsi"/>
                <w:sz w:val="18"/>
                <w:szCs w:val="18"/>
              </w:rPr>
            </w:pPr>
            <w:r w:rsidRPr="00F15EC9">
              <w:rPr>
                <w:rFonts w:asciiTheme="minorHAnsi" w:hAnsiTheme="minorHAnsi"/>
                <w:sz w:val="18"/>
                <w:szCs w:val="18"/>
              </w:rPr>
              <w:t>Max%</w:t>
            </w:r>
          </w:p>
        </w:tc>
      </w:tr>
      <w:tr w:rsidR="00625D44" w14:paraId="67781F71" w14:textId="77777777" w:rsidTr="00625D44">
        <w:tc>
          <w:tcPr>
            <w:tcW w:w="5353" w:type="dxa"/>
            <w:vMerge/>
          </w:tcPr>
          <w:p w14:paraId="6100E86A" w14:textId="77777777" w:rsidR="00625D44" w:rsidRDefault="00625D44" w:rsidP="00625D44">
            <w:pPr>
              <w:jc w:val="both"/>
              <w:rPr>
                <w:b/>
              </w:rPr>
            </w:pPr>
          </w:p>
        </w:tc>
        <w:tc>
          <w:tcPr>
            <w:tcW w:w="2552" w:type="dxa"/>
          </w:tcPr>
          <w:p w14:paraId="7AE10D0A" w14:textId="48357441" w:rsidR="00625D44" w:rsidRPr="00F15EC9" w:rsidRDefault="00625D44" w:rsidP="00625D44">
            <w:pPr>
              <w:jc w:val="both"/>
              <w:rPr>
                <w:rFonts w:asciiTheme="minorHAnsi" w:hAnsiTheme="minorHAnsi"/>
                <w:sz w:val="18"/>
                <w:szCs w:val="18"/>
              </w:rPr>
            </w:pPr>
            <w:r w:rsidRPr="00F15EC9">
              <w:rPr>
                <w:rFonts w:asciiTheme="minorHAnsi" w:hAnsiTheme="minorHAnsi"/>
                <w:sz w:val="18"/>
                <w:szCs w:val="18"/>
              </w:rPr>
              <w:t>UK Equit</w:t>
            </w:r>
            <w:r w:rsidR="009E77B1">
              <w:rPr>
                <w:rFonts w:asciiTheme="minorHAnsi" w:hAnsiTheme="minorHAnsi"/>
                <w:sz w:val="18"/>
                <w:szCs w:val="18"/>
              </w:rPr>
              <w:t>ies</w:t>
            </w:r>
          </w:p>
        </w:tc>
        <w:tc>
          <w:tcPr>
            <w:tcW w:w="1417" w:type="dxa"/>
            <w:gridSpan w:val="2"/>
          </w:tcPr>
          <w:p w14:paraId="26BE2402" w14:textId="77777777" w:rsidR="00625D44" w:rsidRPr="00F15EC9" w:rsidRDefault="00625D44" w:rsidP="00343C72">
            <w:pPr>
              <w:jc w:val="center"/>
              <w:rPr>
                <w:rFonts w:asciiTheme="minorHAnsi" w:hAnsiTheme="minorHAnsi"/>
                <w:sz w:val="18"/>
                <w:szCs w:val="18"/>
              </w:rPr>
            </w:pPr>
            <w:r>
              <w:rPr>
                <w:rFonts w:asciiTheme="minorHAnsi" w:hAnsiTheme="minorHAnsi"/>
                <w:sz w:val="18"/>
                <w:szCs w:val="18"/>
              </w:rPr>
              <w:t>15 - 25</w:t>
            </w:r>
          </w:p>
        </w:tc>
      </w:tr>
      <w:tr w:rsidR="00625D44" w14:paraId="4C3BEAA6" w14:textId="77777777" w:rsidTr="00625D44">
        <w:tc>
          <w:tcPr>
            <w:tcW w:w="5353" w:type="dxa"/>
            <w:vMerge/>
          </w:tcPr>
          <w:p w14:paraId="065B0D2B" w14:textId="77777777" w:rsidR="00625D44" w:rsidRDefault="00625D44" w:rsidP="00625D44">
            <w:pPr>
              <w:jc w:val="both"/>
              <w:rPr>
                <w:b/>
              </w:rPr>
            </w:pPr>
          </w:p>
        </w:tc>
        <w:tc>
          <w:tcPr>
            <w:tcW w:w="2552" w:type="dxa"/>
          </w:tcPr>
          <w:p w14:paraId="6E14D94D" w14:textId="144E96C6" w:rsidR="00625D44" w:rsidRPr="00F15EC9" w:rsidRDefault="008B48CC" w:rsidP="00625D44">
            <w:pPr>
              <w:jc w:val="both"/>
              <w:rPr>
                <w:rFonts w:asciiTheme="minorHAnsi" w:hAnsiTheme="minorHAnsi"/>
                <w:sz w:val="18"/>
                <w:szCs w:val="18"/>
              </w:rPr>
            </w:pPr>
            <w:r>
              <w:rPr>
                <w:rFonts w:asciiTheme="minorHAnsi" w:hAnsiTheme="minorHAnsi"/>
                <w:sz w:val="18"/>
                <w:szCs w:val="18"/>
              </w:rPr>
              <w:t>Global Equit</w:t>
            </w:r>
            <w:r w:rsidR="009E77B1">
              <w:rPr>
                <w:rFonts w:asciiTheme="minorHAnsi" w:hAnsiTheme="minorHAnsi"/>
                <w:sz w:val="18"/>
                <w:szCs w:val="18"/>
              </w:rPr>
              <w:t>ies</w:t>
            </w:r>
          </w:p>
        </w:tc>
        <w:tc>
          <w:tcPr>
            <w:tcW w:w="1417" w:type="dxa"/>
            <w:gridSpan w:val="2"/>
          </w:tcPr>
          <w:p w14:paraId="30E13F08" w14:textId="77777777" w:rsidR="00625D44" w:rsidRPr="00F15EC9" w:rsidRDefault="00625D44" w:rsidP="00343C72">
            <w:pPr>
              <w:jc w:val="center"/>
              <w:rPr>
                <w:rFonts w:asciiTheme="minorHAnsi" w:hAnsiTheme="minorHAnsi"/>
                <w:sz w:val="18"/>
                <w:szCs w:val="18"/>
              </w:rPr>
            </w:pPr>
            <w:r>
              <w:rPr>
                <w:rFonts w:asciiTheme="minorHAnsi" w:hAnsiTheme="minorHAnsi"/>
                <w:sz w:val="18"/>
                <w:szCs w:val="18"/>
              </w:rPr>
              <w:t>15 - 25</w:t>
            </w:r>
          </w:p>
        </w:tc>
      </w:tr>
      <w:tr w:rsidR="00625D44" w14:paraId="54CDD48B" w14:textId="77777777" w:rsidTr="00625D44">
        <w:tc>
          <w:tcPr>
            <w:tcW w:w="5353" w:type="dxa"/>
            <w:vMerge/>
          </w:tcPr>
          <w:p w14:paraId="31A5CCDB" w14:textId="77777777" w:rsidR="00625D44" w:rsidRDefault="00625D44" w:rsidP="00625D44">
            <w:pPr>
              <w:jc w:val="both"/>
              <w:rPr>
                <w:b/>
              </w:rPr>
            </w:pPr>
          </w:p>
        </w:tc>
        <w:tc>
          <w:tcPr>
            <w:tcW w:w="3969" w:type="dxa"/>
            <w:gridSpan w:val="3"/>
          </w:tcPr>
          <w:p w14:paraId="40B0AC46" w14:textId="0B60D5D9" w:rsidR="00625D44" w:rsidRPr="00B94DED" w:rsidRDefault="00625D44" w:rsidP="00625D44">
            <w:pPr>
              <w:jc w:val="both"/>
              <w:rPr>
                <w:rFonts w:asciiTheme="minorHAnsi" w:hAnsiTheme="minorHAnsi"/>
                <w:i/>
                <w:sz w:val="18"/>
                <w:szCs w:val="18"/>
              </w:rPr>
            </w:pPr>
          </w:p>
        </w:tc>
      </w:tr>
      <w:tr w:rsidR="00625D44" w14:paraId="20329A0C" w14:textId="77777777" w:rsidTr="00625D44">
        <w:tc>
          <w:tcPr>
            <w:tcW w:w="5353" w:type="dxa"/>
            <w:vMerge/>
          </w:tcPr>
          <w:p w14:paraId="775FAD89" w14:textId="77777777" w:rsidR="00625D44" w:rsidRDefault="00625D44" w:rsidP="00625D44">
            <w:pPr>
              <w:jc w:val="both"/>
              <w:rPr>
                <w:b/>
              </w:rPr>
            </w:pPr>
          </w:p>
        </w:tc>
        <w:tc>
          <w:tcPr>
            <w:tcW w:w="2552" w:type="dxa"/>
          </w:tcPr>
          <w:p w14:paraId="2C916731" w14:textId="0A9980CB" w:rsidR="00625D44" w:rsidRPr="00F15EC9" w:rsidRDefault="009E77B1" w:rsidP="00625D44">
            <w:pPr>
              <w:jc w:val="both"/>
              <w:rPr>
                <w:rFonts w:asciiTheme="minorHAnsi" w:hAnsiTheme="minorHAnsi"/>
                <w:sz w:val="18"/>
                <w:szCs w:val="18"/>
              </w:rPr>
            </w:pPr>
            <w:r>
              <w:rPr>
                <w:rFonts w:asciiTheme="minorHAnsi" w:hAnsiTheme="minorHAnsi"/>
                <w:sz w:val="18"/>
                <w:szCs w:val="18"/>
              </w:rPr>
              <w:t>Fixed interest</w:t>
            </w:r>
          </w:p>
        </w:tc>
        <w:tc>
          <w:tcPr>
            <w:tcW w:w="1417" w:type="dxa"/>
            <w:gridSpan w:val="2"/>
          </w:tcPr>
          <w:p w14:paraId="6130978B" w14:textId="6E9E3696" w:rsidR="00625D44" w:rsidRPr="00F15EC9" w:rsidRDefault="0060748E" w:rsidP="00343C72">
            <w:pPr>
              <w:jc w:val="center"/>
              <w:rPr>
                <w:rFonts w:asciiTheme="minorHAnsi" w:hAnsiTheme="minorHAnsi"/>
                <w:sz w:val="18"/>
                <w:szCs w:val="18"/>
              </w:rPr>
            </w:pPr>
            <w:r>
              <w:rPr>
                <w:rFonts w:asciiTheme="minorHAnsi" w:hAnsiTheme="minorHAnsi"/>
                <w:sz w:val="18"/>
                <w:szCs w:val="18"/>
              </w:rPr>
              <w:t>40 - 60</w:t>
            </w:r>
          </w:p>
        </w:tc>
      </w:tr>
      <w:tr w:rsidR="00625D44" w14:paraId="6A1E9D4F" w14:textId="77777777" w:rsidTr="00625D44">
        <w:tc>
          <w:tcPr>
            <w:tcW w:w="5353" w:type="dxa"/>
            <w:vMerge/>
          </w:tcPr>
          <w:p w14:paraId="088889C3" w14:textId="77777777" w:rsidR="00625D44" w:rsidRDefault="00625D44" w:rsidP="00625D44">
            <w:pPr>
              <w:jc w:val="both"/>
              <w:rPr>
                <w:b/>
              </w:rPr>
            </w:pPr>
          </w:p>
        </w:tc>
        <w:tc>
          <w:tcPr>
            <w:tcW w:w="3969" w:type="dxa"/>
            <w:gridSpan w:val="3"/>
          </w:tcPr>
          <w:p w14:paraId="7919B416" w14:textId="3DEEA8BD" w:rsidR="00625D44" w:rsidRPr="0031146F" w:rsidRDefault="00625D44" w:rsidP="00625D44">
            <w:pPr>
              <w:jc w:val="both"/>
              <w:rPr>
                <w:rFonts w:asciiTheme="minorHAnsi" w:hAnsiTheme="minorHAnsi"/>
                <w:i/>
                <w:sz w:val="18"/>
                <w:szCs w:val="18"/>
              </w:rPr>
            </w:pPr>
          </w:p>
        </w:tc>
      </w:tr>
      <w:tr w:rsidR="00625D44" w14:paraId="2F013BD1" w14:textId="77777777" w:rsidTr="00625D44">
        <w:tc>
          <w:tcPr>
            <w:tcW w:w="5353" w:type="dxa"/>
            <w:vMerge/>
          </w:tcPr>
          <w:p w14:paraId="5B1CC63D" w14:textId="77777777" w:rsidR="00625D44" w:rsidRDefault="00625D44" w:rsidP="00625D44">
            <w:pPr>
              <w:jc w:val="both"/>
              <w:rPr>
                <w:b/>
              </w:rPr>
            </w:pPr>
          </w:p>
        </w:tc>
        <w:tc>
          <w:tcPr>
            <w:tcW w:w="2552" w:type="dxa"/>
          </w:tcPr>
          <w:p w14:paraId="79EDF91C" w14:textId="3F322DBE" w:rsidR="00625D44" w:rsidRPr="0031146F" w:rsidRDefault="009E77B1" w:rsidP="00625D44">
            <w:pPr>
              <w:jc w:val="both"/>
              <w:rPr>
                <w:rFonts w:asciiTheme="minorHAnsi" w:hAnsiTheme="minorHAnsi"/>
                <w:sz w:val="18"/>
                <w:szCs w:val="18"/>
              </w:rPr>
            </w:pPr>
            <w:r>
              <w:rPr>
                <w:rFonts w:asciiTheme="minorHAnsi" w:hAnsiTheme="minorHAnsi"/>
                <w:sz w:val="18"/>
                <w:szCs w:val="18"/>
              </w:rPr>
              <w:t xml:space="preserve">UK </w:t>
            </w:r>
            <w:r w:rsidR="00625D44">
              <w:rPr>
                <w:rFonts w:asciiTheme="minorHAnsi" w:hAnsiTheme="minorHAnsi"/>
                <w:sz w:val="18"/>
                <w:szCs w:val="18"/>
              </w:rPr>
              <w:t>Property</w:t>
            </w:r>
          </w:p>
        </w:tc>
        <w:tc>
          <w:tcPr>
            <w:tcW w:w="1417" w:type="dxa"/>
            <w:gridSpan w:val="2"/>
          </w:tcPr>
          <w:p w14:paraId="397A970A" w14:textId="77777777" w:rsidR="00625D44" w:rsidRPr="0031146F" w:rsidRDefault="00625D44" w:rsidP="00343C72">
            <w:pPr>
              <w:jc w:val="center"/>
              <w:rPr>
                <w:rFonts w:asciiTheme="minorHAnsi" w:hAnsiTheme="minorHAnsi"/>
                <w:sz w:val="18"/>
                <w:szCs w:val="18"/>
              </w:rPr>
            </w:pPr>
            <w:r>
              <w:rPr>
                <w:rFonts w:asciiTheme="minorHAnsi" w:hAnsiTheme="minorHAnsi"/>
                <w:sz w:val="18"/>
                <w:szCs w:val="18"/>
              </w:rPr>
              <w:t>5 - 15</w:t>
            </w:r>
          </w:p>
        </w:tc>
      </w:tr>
      <w:tr w:rsidR="00625D44" w14:paraId="299F46A5" w14:textId="77777777" w:rsidTr="00625D44">
        <w:tc>
          <w:tcPr>
            <w:tcW w:w="5353" w:type="dxa"/>
            <w:vMerge/>
          </w:tcPr>
          <w:p w14:paraId="5D608AF4" w14:textId="77777777" w:rsidR="00625D44" w:rsidRDefault="00625D44" w:rsidP="00625D44">
            <w:pPr>
              <w:jc w:val="both"/>
              <w:rPr>
                <w:b/>
              </w:rPr>
            </w:pPr>
          </w:p>
        </w:tc>
        <w:tc>
          <w:tcPr>
            <w:tcW w:w="2552" w:type="dxa"/>
          </w:tcPr>
          <w:p w14:paraId="5BBF9E29" w14:textId="0311A978" w:rsidR="00625D44" w:rsidRPr="0031146F" w:rsidRDefault="009E77B1" w:rsidP="00625D44">
            <w:pPr>
              <w:jc w:val="both"/>
              <w:rPr>
                <w:rFonts w:asciiTheme="minorHAnsi" w:hAnsiTheme="minorHAnsi"/>
                <w:sz w:val="18"/>
                <w:szCs w:val="18"/>
              </w:rPr>
            </w:pPr>
            <w:r>
              <w:rPr>
                <w:rFonts w:asciiTheme="minorHAnsi" w:hAnsiTheme="minorHAnsi"/>
                <w:sz w:val="18"/>
                <w:szCs w:val="18"/>
              </w:rPr>
              <w:t>Cash</w:t>
            </w:r>
          </w:p>
        </w:tc>
        <w:tc>
          <w:tcPr>
            <w:tcW w:w="1417" w:type="dxa"/>
            <w:gridSpan w:val="2"/>
          </w:tcPr>
          <w:p w14:paraId="61237DD5" w14:textId="77777777" w:rsidR="00625D44" w:rsidRPr="0031146F" w:rsidRDefault="00625D44" w:rsidP="00343C72">
            <w:pPr>
              <w:jc w:val="center"/>
              <w:rPr>
                <w:rFonts w:asciiTheme="minorHAnsi" w:hAnsiTheme="minorHAnsi"/>
                <w:sz w:val="18"/>
                <w:szCs w:val="18"/>
              </w:rPr>
            </w:pPr>
            <w:r>
              <w:rPr>
                <w:rFonts w:asciiTheme="minorHAnsi" w:hAnsiTheme="minorHAnsi"/>
                <w:sz w:val="18"/>
                <w:szCs w:val="18"/>
              </w:rPr>
              <w:t>0 - 5</w:t>
            </w:r>
          </w:p>
        </w:tc>
      </w:tr>
    </w:tbl>
    <w:p w14:paraId="6A775FBE" w14:textId="77777777" w:rsidR="0018218D" w:rsidRDefault="0018218D" w:rsidP="00625D44">
      <w:pPr>
        <w:spacing w:after="0" w:line="240" w:lineRule="auto"/>
        <w:jc w:val="both"/>
        <w:rPr>
          <w:b/>
        </w:rPr>
      </w:pPr>
    </w:p>
    <w:p w14:paraId="707D1BFB" w14:textId="77777777" w:rsidR="0018218D" w:rsidRDefault="0018218D" w:rsidP="00625D44">
      <w:pPr>
        <w:spacing w:after="0" w:line="240" w:lineRule="auto"/>
        <w:jc w:val="both"/>
        <w:rPr>
          <w:b/>
        </w:rPr>
      </w:pPr>
    </w:p>
    <w:p w14:paraId="0A620734" w14:textId="765FBB8F" w:rsidR="00625D44" w:rsidRPr="002140AC" w:rsidRDefault="00932DDC" w:rsidP="00625D44">
      <w:pPr>
        <w:spacing w:after="0" w:line="240" w:lineRule="auto"/>
        <w:jc w:val="both"/>
        <w:rPr>
          <w:b/>
        </w:rPr>
      </w:pPr>
      <w:r>
        <w:rPr>
          <w:b/>
        </w:rPr>
        <w:t xml:space="preserve"> </w:t>
      </w:r>
      <w:r w:rsidR="00524FF6">
        <w:rPr>
          <w:b/>
        </w:rPr>
        <w:t>Connexional Council</w:t>
      </w:r>
      <w:r w:rsidR="00625D44" w:rsidRPr="002140AC">
        <w:rPr>
          <w:b/>
        </w:rPr>
        <w:t xml:space="preserve"> Long Term Fund</w:t>
      </w:r>
    </w:p>
    <w:tbl>
      <w:tblPr>
        <w:tblStyle w:val="TableGrid"/>
        <w:tblW w:w="9322" w:type="dxa"/>
        <w:tblLayout w:type="fixed"/>
        <w:tblLook w:val="04A0" w:firstRow="1" w:lastRow="0" w:firstColumn="1" w:lastColumn="0" w:noHBand="0" w:noVBand="1"/>
      </w:tblPr>
      <w:tblGrid>
        <w:gridCol w:w="5353"/>
        <w:gridCol w:w="2552"/>
        <w:gridCol w:w="739"/>
        <w:gridCol w:w="678"/>
      </w:tblGrid>
      <w:tr w:rsidR="00625D44" w14:paraId="1FF4126D" w14:textId="77777777" w:rsidTr="00625D44">
        <w:tc>
          <w:tcPr>
            <w:tcW w:w="5353" w:type="dxa"/>
          </w:tcPr>
          <w:p w14:paraId="6DBB04CB" w14:textId="77777777" w:rsidR="00625D44" w:rsidRDefault="00625D44" w:rsidP="00625D44">
            <w:pPr>
              <w:jc w:val="both"/>
              <w:rPr>
                <w:b/>
              </w:rPr>
            </w:pPr>
            <w:r>
              <w:rPr>
                <w:b/>
              </w:rPr>
              <w:t>Objective</w:t>
            </w:r>
          </w:p>
        </w:tc>
        <w:tc>
          <w:tcPr>
            <w:tcW w:w="3969" w:type="dxa"/>
            <w:gridSpan w:val="3"/>
          </w:tcPr>
          <w:p w14:paraId="3AB3D4B6" w14:textId="77777777" w:rsidR="00625D44" w:rsidRDefault="00625D44" w:rsidP="00625D44">
            <w:pPr>
              <w:jc w:val="both"/>
              <w:rPr>
                <w:b/>
              </w:rPr>
            </w:pPr>
            <w:r>
              <w:rPr>
                <w:b/>
              </w:rPr>
              <w:t>Parameters</w:t>
            </w:r>
          </w:p>
        </w:tc>
      </w:tr>
      <w:tr w:rsidR="00625D44" w14:paraId="4D370803" w14:textId="77777777" w:rsidTr="00625D44">
        <w:tc>
          <w:tcPr>
            <w:tcW w:w="5353" w:type="dxa"/>
            <w:vMerge w:val="restart"/>
          </w:tcPr>
          <w:p w14:paraId="71739DEF" w14:textId="77777777" w:rsidR="00625D44" w:rsidRPr="009710E4" w:rsidRDefault="00932DDC" w:rsidP="00625D44">
            <w:pPr>
              <w:jc w:val="both"/>
              <w:rPr>
                <w:rFonts w:asciiTheme="minorHAnsi" w:hAnsiTheme="minorHAnsi"/>
                <w:b/>
                <w:sz w:val="18"/>
                <w:szCs w:val="18"/>
              </w:rPr>
            </w:pPr>
            <w:r>
              <w:rPr>
                <w:rFonts w:asciiTheme="minorHAnsi" w:eastAsia="Arial" w:hAnsiTheme="minorHAnsi"/>
                <w:color w:val="1A1A1A"/>
                <w:sz w:val="18"/>
                <w:szCs w:val="18"/>
              </w:rPr>
              <w:t>Over the long term, to preserve real capital value with an expectation of income growth.</w:t>
            </w:r>
          </w:p>
        </w:tc>
        <w:tc>
          <w:tcPr>
            <w:tcW w:w="3969" w:type="dxa"/>
            <w:gridSpan w:val="3"/>
          </w:tcPr>
          <w:p w14:paraId="7B7EDED2" w14:textId="77777777" w:rsidR="00625D44" w:rsidRDefault="00625D44" w:rsidP="00625D44">
            <w:pPr>
              <w:jc w:val="both"/>
              <w:rPr>
                <w:b/>
              </w:rPr>
            </w:pPr>
            <w:r>
              <w:rPr>
                <w:rFonts w:asciiTheme="minorHAnsi" w:hAnsiTheme="minorHAnsi"/>
                <w:i/>
                <w:sz w:val="18"/>
                <w:szCs w:val="18"/>
              </w:rPr>
              <w:t>Equities 60 - 80</w:t>
            </w:r>
            <w:r w:rsidRPr="00F15EC9">
              <w:rPr>
                <w:rFonts w:asciiTheme="minorHAnsi" w:hAnsiTheme="minorHAnsi"/>
                <w:i/>
                <w:sz w:val="18"/>
                <w:szCs w:val="18"/>
              </w:rPr>
              <w:t>%</w:t>
            </w:r>
          </w:p>
        </w:tc>
      </w:tr>
      <w:tr w:rsidR="00625D44" w14:paraId="3A362718" w14:textId="77777777" w:rsidTr="00625D44">
        <w:tc>
          <w:tcPr>
            <w:tcW w:w="5353" w:type="dxa"/>
            <w:vMerge/>
          </w:tcPr>
          <w:p w14:paraId="533B4051" w14:textId="77777777" w:rsidR="00625D44" w:rsidRDefault="00625D44" w:rsidP="00625D44">
            <w:pPr>
              <w:jc w:val="both"/>
              <w:rPr>
                <w:b/>
              </w:rPr>
            </w:pPr>
          </w:p>
        </w:tc>
        <w:tc>
          <w:tcPr>
            <w:tcW w:w="2552" w:type="dxa"/>
          </w:tcPr>
          <w:p w14:paraId="231F4C7A" w14:textId="77777777" w:rsidR="00625D44" w:rsidRPr="00F15EC9" w:rsidRDefault="00625D44" w:rsidP="00625D44">
            <w:pPr>
              <w:jc w:val="both"/>
              <w:rPr>
                <w:sz w:val="18"/>
                <w:szCs w:val="18"/>
              </w:rPr>
            </w:pPr>
          </w:p>
        </w:tc>
        <w:tc>
          <w:tcPr>
            <w:tcW w:w="739" w:type="dxa"/>
          </w:tcPr>
          <w:p w14:paraId="02C5B120" w14:textId="77777777" w:rsidR="00625D44" w:rsidRPr="00F15EC9" w:rsidRDefault="00625D44" w:rsidP="00625D44">
            <w:pPr>
              <w:jc w:val="both"/>
              <w:rPr>
                <w:sz w:val="18"/>
                <w:szCs w:val="18"/>
              </w:rPr>
            </w:pPr>
            <w:r w:rsidRPr="00F15EC9">
              <w:rPr>
                <w:rFonts w:asciiTheme="minorHAnsi" w:hAnsiTheme="minorHAnsi"/>
                <w:sz w:val="18"/>
                <w:szCs w:val="18"/>
              </w:rPr>
              <w:t>Min%</w:t>
            </w:r>
          </w:p>
        </w:tc>
        <w:tc>
          <w:tcPr>
            <w:tcW w:w="678" w:type="dxa"/>
          </w:tcPr>
          <w:p w14:paraId="7528D311" w14:textId="77777777" w:rsidR="00625D44" w:rsidRPr="00F15EC9" w:rsidRDefault="00625D44" w:rsidP="00625D44">
            <w:pPr>
              <w:jc w:val="both"/>
              <w:rPr>
                <w:rFonts w:asciiTheme="minorHAnsi" w:hAnsiTheme="minorHAnsi"/>
                <w:sz w:val="18"/>
                <w:szCs w:val="18"/>
              </w:rPr>
            </w:pPr>
            <w:r>
              <w:rPr>
                <w:rFonts w:asciiTheme="minorHAnsi" w:hAnsiTheme="minorHAnsi"/>
                <w:sz w:val="18"/>
                <w:szCs w:val="18"/>
              </w:rPr>
              <w:t>Max%</w:t>
            </w:r>
          </w:p>
        </w:tc>
      </w:tr>
      <w:tr w:rsidR="00625D44" w14:paraId="5F5A7D9F" w14:textId="77777777" w:rsidTr="00625D44">
        <w:tc>
          <w:tcPr>
            <w:tcW w:w="5353" w:type="dxa"/>
            <w:vMerge/>
          </w:tcPr>
          <w:p w14:paraId="4A868E1F" w14:textId="77777777" w:rsidR="00625D44" w:rsidRDefault="00625D44" w:rsidP="00625D44">
            <w:pPr>
              <w:jc w:val="both"/>
              <w:rPr>
                <w:b/>
              </w:rPr>
            </w:pPr>
          </w:p>
        </w:tc>
        <w:tc>
          <w:tcPr>
            <w:tcW w:w="2552" w:type="dxa"/>
          </w:tcPr>
          <w:p w14:paraId="27072344" w14:textId="4BED8A22" w:rsidR="00625D44" w:rsidRPr="00F15EC9" w:rsidRDefault="00625D44" w:rsidP="00625D44">
            <w:pPr>
              <w:jc w:val="both"/>
              <w:rPr>
                <w:rFonts w:asciiTheme="minorHAnsi" w:hAnsiTheme="minorHAnsi"/>
                <w:sz w:val="18"/>
                <w:szCs w:val="18"/>
              </w:rPr>
            </w:pPr>
            <w:r w:rsidRPr="00F15EC9">
              <w:rPr>
                <w:rFonts w:asciiTheme="minorHAnsi" w:hAnsiTheme="minorHAnsi"/>
                <w:sz w:val="18"/>
                <w:szCs w:val="18"/>
              </w:rPr>
              <w:t>UK Equit</w:t>
            </w:r>
            <w:r w:rsidR="009E77B1">
              <w:rPr>
                <w:rFonts w:asciiTheme="minorHAnsi" w:hAnsiTheme="minorHAnsi"/>
                <w:sz w:val="18"/>
                <w:szCs w:val="18"/>
              </w:rPr>
              <w:t>ies</w:t>
            </w:r>
          </w:p>
        </w:tc>
        <w:tc>
          <w:tcPr>
            <w:tcW w:w="1417" w:type="dxa"/>
            <w:gridSpan w:val="2"/>
          </w:tcPr>
          <w:p w14:paraId="57E09FAC" w14:textId="77777777" w:rsidR="00625D44" w:rsidRPr="00F15EC9" w:rsidRDefault="00625D44" w:rsidP="00343C72">
            <w:pPr>
              <w:jc w:val="center"/>
              <w:rPr>
                <w:rFonts w:asciiTheme="minorHAnsi" w:hAnsiTheme="minorHAnsi"/>
                <w:sz w:val="18"/>
                <w:szCs w:val="18"/>
              </w:rPr>
            </w:pPr>
            <w:r>
              <w:rPr>
                <w:rFonts w:asciiTheme="minorHAnsi" w:hAnsiTheme="minorHAnsi"/>
                <w:sz w:val="18"/>
                <w:szCs w:val="18"/>
              </w:rPr>
              <w:t>30 - 40</w:t>
            </w:r>
          </w:p>
        </w:tc>
      </w:tr>
      <w:tr w:rsidR="00625D44" w14:paraId="497D14FA" w14:textId="77777777" w:rsidTr="00625D44">
        <w:tc>
          <w:tcPr>
            <w:tcW w:w="5353" w:type="dxa"/>
            <w:vMerge/>
          </w:tcPr>
          <w:p w14:paraId="2D922B6F" w14:textId="77777777" w:rsidR="00625D44" w:rsidRDefault="00625D44" w:rsidP="00625D44">
            <w:pPr>
              <w:jc w:val="both"/>
              <w:rPr>
                <w:b/>
              </w:rPr>
            </w:pPr>
          </w:p>
        </w:tc>
        <w:tc>
          <w:tcPr>
            <w:tcW w:w="2552" w:type="dxa"/>
          </w:tcPr>
          <w:p w14:paraId="5B98FFAA" w14:textId="477257F1" w:rsidR="00625D44" w:rsidRPr="00F15EC9" w:rsidRDefault="008B48CC" w:rsidP="00625D44">
            <w:pPr>
              <w:jc w:val="both"/>
              <w:rPr>
                <w:rFonts w:asciiTheme="minorHAnsi" w:hAnsiTheme="minorHAnsi"/>
                <w:sz w:val="18"/>
                <w:szCs w:val="18"/>
              </w:rPr>
            </w:pPr>
            <w:r>
              <w:rPr>
                <w:rFonts w:asciiTheme="minorHAnsi" w:hAnsiTheme="minorHAnsi"/>
                <w:sz w:val="18"/>
                <w:szCs w:val="18"/>
              </w:rPr>
              <w:t>Global Equit</w:t>
            </w:r>
            <w:r w:rsidR="009E77B1">
              <w:rPr>
                <w:rFonts w:asciiTheme="minorHAnsi" w:hAnsiTheme="minorHAnsi"/>
                <w:sz w:val="18"/>
                <w:szCs w:val="18"/>
              </w:rPr>
              <w:t>ies</w:t>
            </w:r>
          </w:p>
        </w:tc>
        <w:tc>
          <w:tcPr>
            <w:tcW w:w="1417" w:type="dxa"/>
            <w:gridSpan w:val="2"/>
          </w:tcPr>
          <w:p w14:paraId="1794FB65" w14:textId="77777777" w:rsidR="00625D44" w:rsidRPr="00F15EC9" w:rsidRDefault="00625D44" w:rsidP="00343C72">
            <w:pPr>
              <w:jc w:val="center"/>
              <w:rPr>
                <w:rFonts w:asciiTheme="minorHAnsi" w:hAnsiTheme="minorHAnsi"/>
                <w:sz w:val="18"/>
                <w:szCs w:val="18"/>
              </w:rPr>
            </w:pPr>
            <w:r>
              <w:rPr>
                <w:rFonts w:asciiTheme="minorHAnsi" w:hAnsiTheme="minorHAnsi"/>
                <w:sz w:val="18"/>
                <w:szCs w:val="18"/>
              </w:rPr>
              <w:t>30 - 40</w:t>
            </w:r>
          </w:p>
        </w:tc>
      </w:tr>
      <w:tr w:rsidR="00625D44" w14:paraId="6FFF0839" w14:textId="77777777" w:rsidTr="00625D44">
        <w:tc>
          <w:tcPr>
            <w:tcW w:w="5353" w:type="dxa"/>
            <w:vMerge/>
          </w:tcPr>
          <w:p w14:paraId="5E9A9901" w14:textId="77777777" w:rsidR="00625D44" w:rsidRDefault="00625D44" w:rsidP="00625D44">
            <w:pPr>
              <w:jc w:val="both"/>
              <w:rPr>
                <w:b/>
              </w:rPr>
            </w:pPr>
          </w:p>
        </w:tc>
        <w:tc>
          <w:tcPr>
            <w:tcW w:w="3969" w:type="dxa"/>
            <w:gridSpan w:val="3"/>
          </w:tcPr>
          <w:p w14:paraId="6BECA190" w14:textId="7727652E" w:rsidR="00625D44" w:rsidRDefault="00625D44" w:rsidP="00625D44">
            <w:pPr>
              <w:jc w:val="both"/>
              <w:rPr>
                <w:b/>
              </w:rPr>
            </w:pPr>
          </w:p>
        </w:tc>
      </w:tr>
      <w:tr w:rsidR="00625D44" w14:paraId="3DC81FCD" w14:textId="77777777" w:rsidTr="00625D44">
        <w:tc>
          <w:tcPr>
            <w:tcW w:w="5353" w:type="dxa"/>
            <w:vMerge/>
          </w:tcPr>
          <w:p w14:paraId="25EB56BD" w14:textId="77777777" w:rsidR="00625D44" w:rsidRDefault="00625D44" w:rsidP="00625D44">
            <w:pPr>
              <w:jc w:val="both"/>
              <w:rPr>
                <w:b/>
              </w:rPr>
            </w:pPr>
          </w:p>
        </w:tc>
        <w:tc>
          <w:tcPr>
            <w:tcW w:w="2552" w:type="dxa"/>
          </w:tcPr>
          <w:p w14:paraId="506B5704" w14:textId="2007F16A" w:rsidR="00625D44" w:rsidRPr="00F15EC9" w:rsidRDefault="005A29A2" w:rsidP="00625D44">
            <w:pPr>
              <w:jc w:val="both"/>
              <w:rPr>
                <w:rFonts w:asciiTheme="minorHAnsi" w:hAnsiTheme="minorHAnsi"/>
                <w:sz w:val="18"/>
                <w:szCs w:val="18"/>
              </w:rPr>
            </w:pPr>
            <w:r>
              <w:rPr>
                <w:rFonts w:asciiTheme="minorHAnsi" w:hAnsiTheme="minorHAnsi"/>
                <w:sz w:val="18"/>
                <w:szCs w:val="18"/>
              </w:rPr>
              <w:t xml:space="preserve">Fixed Interest </w:t>
            </w:r>
          </w:p>
        </w:tc>
        <w:tc>
          <w:tcPr>
            <w:tcW w:w="1417" w:type="dxa"/>
            <w:gridSpan w:val="2"/>
          </w:tcPr>
          <w:p w14:paraId="40F623CC" w14:textId="1515DF19" w:rsidR="00625D44" w:rsidRPr="00F15EC9" w:rsidRDefault="005A29A2" w:rsidP="00343C72">
            <w:pPr>
              <w:jc w:val="center"/>
              <w:rPr>
                <w:rFonts w:asciiTheme="minorHAnsi" w:hAnsiTheme="minorHAnsi"/>
                <w:sz w:val="18"/>
                <w:szCs w:val="18"/>
              </w:rPr>
            </w:pPr>
            <w:r>
              <w:rPr>
                <w:rFonts w:asciiTheme="minorHAnsi" w:hAnsiTheme="minorHAnsi"/>
                <w:sz w:val="18"/>
                <w:szCs w:val="18"/>
              </w:rPr>
              <w:t>5</w:t>
            </w:r>
            <w:r w:rsidR="0060748E">
              <w:rPr>
                <w:rFonts w:asciiTheme="minorHAnsi" w:hAnsiTheme="minorHAnsi"/>
                <w:sz w:val="18"/>
                <w:szCs w:val="18"/>
              </w:rPr>
              <w:t xml:space="preserve"> - </w:t>
            </w:r>
            <w:r>
              <w:rPr>
                <w:rFonts w:asciiTheme="minorHAnsi" w:hAnsiTheme="minorHAnsi"/>
                <w:sz w:val="18"/>
                <w:szCs w:val="18"/>
              </w:rPr>
              <w:t>25</w:t>
            </w:r>
          </w:p>
        </w:tc>
      </w:tr>
      <w:tr w:rsidR="00625D44" w14:paraId="3AA313E4" w14:textId="77777777" w:rsidTr="00625D44">
        <w:tc>
          <w:tcPr>
            <w:tcW w:w="5353" w:type="dxa"/>
            <w:vMerge/>
          </w:tcPr>
          <w:p w14:paraId="1CB1C9E7" w14:textId="77777777" w:rsidR="00625D44" w:rsidRDefault="00625D44" w:rsidP="00625D44">
            <w:pPr>
              <w:jc w:val="both"/>
              <w:rPr>
                <w:b/>
              </w:rPr>
            </w:pPr>
          </w:p>
        </w:tc>
        <w:tc>
          <w:tcPr>
            <w:tcW w:w="2552" w:type="dxa"/>
          </w:tcPr>
          <w:p w14:paraId="6B9B5B7D" w14:textId="6BC535B7" w:rsidR="00625D44" w:rsidRPr="0031146F" w:rsidRDefault="00625D44" w:rsidP="00625D44">
            <w:pPr>
              <w:jc w:val="both"/>
              <w:rPr>
                <w:rFonts w:asciiTheme="minorHAnsi" w:hAnsiTheme="minorHAnsi"/>
                <w:i/>
                <w:sz w:val="18"/>
                <w:szCs w:val="18"/>
              </w:rPr>
            </w:pPr>
          </w:p>
        </w:tc>
        <w:tc>
          <w:tcPr>
            <w:tcW w:w="1417" w:type="dxa"/>
            <w:gridSpan w:val="2"/>
          </w:tcPr>
          <w:p w14:paraId="4211A992" w14:textId="77777777" w:rsidR="00625D44" w:rsidRDefault="00625D44" w:rsidP="00625D44">
            <w:pPr>
              <w:jc w:val="both"/>
              <w:rPr>
                <w:sz w:val="18"/>
                <w:szCs w:val="18"/>
              </w:rPr>
            </w:pPr>
          </w:p>
        </w:tc>
      </w:tr>
      <w:tr w:rsidR="00625D44" w14:paraId="0D6E953C" w14:textId="77777777" w:rsidTr="00625D44">
        <w:tc>
          <w:tcPr>
            <w:tcW w:w="5353" w:type="dxa"/>
            <w:vMerge/>
          </w:tcPr>
          <w:p w14:paraId="7DCDE345" w14:textId="77777777" w:rsidR="00625D44" w:rsidRDefault="00625D44" w:rsidP="00625D44">
            <w:pPr>
              <w:jc w:val="both"/>
              <w:rPr>
                <w:b/>
              </w:rPr>
            </w:pPr>
          </w:p>
        </w:tc>
        <w:tc>
          <w:tcPr>
            <w:tcW w:w="2552" w:type="dxa"/>
          </w:tcPr>
          <w:p w14:paraId="5E94DC81" w14:textId="52961D36" w:rsidR="00625D44" w:rsidRPr="0031146F" w:rsidRDefault="009E77B1" w:rsidP="00625D44">
            <w:pPr>
              <w:jc w:val="both"/>
              <w:rPr>
                <w:rFonts w:asciiTheme="minorHAnsi" w:hAnsiTheme="minorHAnsi"/>
                <w:sz w:val="18"/>
                <w:szCs w:val="18"/>
              </w:rPr>
            </w:pPr>
            <w:r>
              <w:rPr>
                <w:rFonts w:asciiTheme="minorHAnsi" w:hAnsiTheme="minorHAnsi"/>
                <w:sz w:val="18"/>
                <w:szCs w:val="18"/>
              </w:rPr>
              <w:t xml:space="preserve">UK </w:t>
            </w:r>
            <w:r w:rsidR="00625D44">
              <w:rPr>
                <w:rFonts w:asciiTheme="minorHAnsi" w:hAnsiTheme="minorHAnsi"/>
                <w:sz w:val="18"/>
                <w:szCs w:val="18"/>
              </w:rPr>
              <w:t>Property</w:t>
            </w:r>
          </w:p>
        </w:tc>
        <w:tc>
          <w:tcPr>
            <w:tcW w:w="1417" w:type="dxa"/>
            <w:gridSpan w:val="2"/>
          </w:tcPr>
          <w:p w14:paraId="0FDC31C9" w14:textId="77777777" w:rsidR="00625D44" w:rsidRPr="0031146F" w:rsidRDefault="00625D44" w:rsidP="00343C72">
            <w:pPr>
              <w:jc w:val="center"/>
              <w:rPr>
                <w:rFonts w:asciiTheme="minorHAnsi" w:hAnsiTheme="minorHAnsi"/>
                <w:sz w:val="18"/>
                <w:szCs w:val="18"/>
              </w:rPr>
            </w:pPr>
            <w:r>
              <w:rPr>
                <w:rFonts w:asciiTheme="minorHAnsi" w:hAnsiTheme="minorHAnsi"/>
                <w:sz w:val="18"/>
                <w:szCs w:val="18"/>
              </w:rPr>
              <w:t>10 - 20</w:t>
            </w:r>
          </w:p>
        </w:tc>
      </w:tr>
      <w:tr w:rsidR="00625D44" w14:paraId="251D5CD5" w14:textId="77777777" w:rsidTr="00625D44">
        <w:tc>
          <w:tcPr>
            <w:tcW w:w="5353" w:type="dxa"/>
            <w:vMerge/>
          </w:tcPr>
          <w:p w14:paraId="665FCE86" w14:textId="77777777" w:rsidR="00625D44" w:rsidRDefault="00625D44" w:rsidP="00625D44">
            <w:pPr>
              <w:jc w:val="both"/>
              <w:rPr>
                <w:b/>
              </w:rPr>
            </w:pPr>
          </w:p>
        </w:tc>
        <w:tc>
          <w:tcPr>
            <w:tcW w:w="2552" w:type="dxa"/>
          </w:tcPr>
          <w:p w14:paraId="0482DF92" w14:textId="63EB94AE" w:rsidR="00625D44" w:rsidRPr="0031146F" w:rsidRDefault="009E77B1" w:rsidP="00625D44">
            <w:pPr>
              <w:jc w:val="both"/>
              <w:rPr>
                <w:rFonts w:asciiTheme="minorHAnsi" w:hAnsiTheme="minorHAnsi"/>
                <w:sz w:val="18"/>
                <w:szCs w:val="18"/>
              </w:rPr>
            </w:pPr>
            <w:r>
              <w:rPr>
                <w:rFonts w:asciiTheme="minorHAnsi" w:hAnsiTheme="minorHAnsi"/>
                <w:sz w:val="18"/>
                <w:szCs w:val="18"/>
              </w:rPr>
              <w:t>Cash</w:t>
            </w:r>
          </w:p>
        </w:tc>
        <w:tc>
          <w:tcPr>
            <w:tcW w:w="1417" w:type="dxa"/>
            <w:gridSpan w:val="2"/>
          </w:tcPr>
          <w:p w14:paraId="2BC7A54E" w14:textId="77777777" w:rsidR="00625D44" w:rsidRPr="0031146F" w:rsidRDefault="00625D44" w:rsidP="00343C72">
            <w:pPr>
              <w:jc w:val="center"/>
              <w:rPr>
                <w:rFonts w:asciiTheme="minorHAnsi" w:hAnsiTheme="minorHAnsi"/>
                <w:sz w:val="18"/>
                <w:szCs w:val="18"/>
              </w:rPr>
            </w:pPr>
            <w:r>
              <w:rPr>
                <w:rFonts w:asciiTheme="minorHAnsi" w:hAnsiTheme="minorHAnsi"/>
                <w:sz w:val="18"/>
                <w:szCs w:val="18"/>
              </w:rPr>
              <w:t>0 - 5</w:t>
            </w:r>
          </w:p>
        </w:tc>
      </w:tr>
    </w:tbl>
    <w:p w14:paraId="727F1365" w14:textId="77777777" w:rsidR="00625D44" w:rsidRPr="002140AC" w:rsidRDefault="00625D44" w:rsidP="00625D44">
      <w:pPr>
        <w:spacing w:after="0" w:line="240" w:lineRule="auto"/>
        <w:jc w:val="both"/>
        <w:rPr>
          <w:b/>
        </w:rPr>
      </w:pPr>
    </w:p>
    <w:p w14:paraId="1017F67E" w14:textId="77777777" w:rsidR="00625D44" w:rsidRPr="00400DFF" w:rsidRDefault="00625D44" w:rsidP="00625D44">
      <w:pPr>
        <w:spacing w:after="0" w:line="240" w:lineRule="auto"/>
        <w:jc w:val="both"/>
        <w:rPr>
          <w:b/>
        </w:rPr>
      </w:pPr>
    </w:p>
    <w:p w14:paraId="0257E95D" w14:textId="77777777" w:rsidR="00625D44" w:rsidRDefault="00625D44">
      <w:pPr>
        <w:rPr>
          <w:b/>
        </w:rPr>
      </w:pPr>
    </w:p>
    <w:p w14:paraId="01A040FF" w14:textId="77777777" w:rsidR="00625D44" w:rsidRDefault="00625D44">
      <w:pPr>
        <w:rPr>
          <w:b/>
        </w:rPr>
      </w:pPr>
      <w:r>
        <w:rPr>
          <w:b/>
        </w:rPr>
        <w:br w:type="page"/>
      </w:r>
    </w:p>
    <w:p w14:paraId="7BEA308E" w14:textId="77777777" w:rsidR="00C5671B" w:rsidRPr="00C5671B" w:rsidRDefault="00C5671B" w:rsidP="00C5671B">
      <w:pPr>
        <w:spacing w:after="0"/>
        <w:jc w:val="center"/>
        <w:rPr>
          <w:b/>
        </w:rPr>
      </w:pPr>
      <w:r w:rsidRPr="00C5671B">
        <w:rPr>
          <w:b/>
        </w:rPr>
        <w:lastRenderedPageBreak/>
        <w:t xml:space="preserve">Appendix </w:t>
      </w:r>
      <w:r w:rsidR="00133F91">
        <w:rPr>
          <w:b/>
        </w:rPr>
        <w:t>Two</w:t>
      </w:r>
    </w:p>
    <w:p w14:paraId="6255B815" w14:textId="77777777" w:rsidR="00C5671B" w:rsidRPr="00C5671B" w:rsidRDefault="00C5671B" w:rsidP="00C5671B">
      <w:pPr>
        <w:spacing w:after="0"/>
        <w:jc w:val="center"/>
        <w:rPr>
          <w:b/>
        </w:rPr>
      </w:pPr>
      <w:r w:rsidRPr="00C5671B">
        <w:rPr>
          <w:b/>
        </w:rPr>
        <w:t>Fees &amp; Charges</w:t>
      </w:r>
    </w:p>
    <w:p w14:paraId="0D83D812" w14:textId="77777777" w:rsidR="00C5671B" w:rsidRDefault="00C5671B" w:rsidP="00C5671B">
      <w:pPr>
        <w:spacing w:after="0" w:line="240" w:lineRule="auto"/>
        <w:jc w:val="both"/>
      </w:pPr>
    </w:p>
    <w:p w14:paraId="1604E73C" w14:textId="47156235" w:rsidR="00C5671B" w:rsidRDefault="00C5671B" w:rsidP="00C5671B">
      <w:pPr>
        <w:spacing w:after="0" w:line="240" w:lineRule="auto"/>
        <w:jc w:val="both"/>
      </w:pPr>
      <w:r>
        <w:t>The following are the fees, currently raised to each fund</w:t>
      </w:r>
      <w:r w:rsidR="00ED2459">
        <w:t xml:space="preserve"> (correct as </w:t>
      </w:r>
      <w:proofErr w:type="gramStart"/>
      <w:r w:rsidR="00ED2459">
        <w:t>at</w:t>
      </w:r>
      <w:proofErr w:type="gramEnd"/>
      <w:r w:rsidR="00ED2459">
        <w:t xml:space="preserve"> </w:t>
      </w:r>
      <w:r w:rsidR="000E2C05">
        <w:t>27</w:t>
      </w:r>
      <w:r w:rsidR="000E2C05" w:rsidRPr="007C4E76">
        <w:rPr>
          <w:vertAlign w:val="superscript"/>
        </w:rPr>
        <w:t>th</w:t>
      </w:r>
      <w:r w:rsidR="000E2C05">
        <w:t xml:space="preserve"> </w:t>
      </w:r>
      <w:r w:rsidR="00C53229">
        <w:t>November</w:t>
      </w:r>
      <w:r w:rsidR="00ED2459">
        <w:t xml:space="preserve"> </w:t>
      </w:r>
      <w:r w:rsidR="00C53229">
        <w:t>2025</w:t>
      </w:r>
      <w:r w:rsidR="00ED2459">
        <w:t>)</w:t>
      </w:r>
    </w:p>
    <w:p w14:paraId="5527A138" w14:textId="77777777" w:rsidR="00C5671B" w:rsidRPr="002736E8" w:rsidRDefault="00C5671B" w:rsidP="00C5671B">
      <w:pPr>
        <w:spacing w:after="0" w:line="260" w:lineRule="exact"/>
        <w:jc w:val="both"/>
        <w:rPr>
          <w:rFonts w:ascii="Arial" w:eastAsia="Times New Roman" w:hAnsi="Arial" w:cs="Times New Roman"/>
          <w:color w:val="000000"/>
          <w:sz w:val="20"/>
          <w:szCs w:val="20"/>
          <w:lang w:eastAsia="en-GB"/>
        </w:rPr>
      </w:pPr>
    </w:p>
    <w:tbl>
      <w:tblPr>
        <w:tblStyle w:val="TableGrid"/>
        <w:tblW w:w="7181" w:type="dxa"/>
        <w:tblLayout w:type="fixed"/>
        <w:tblLook w:val="04A0" w:firstRow="1" w:lastRow="0" w:firstColumn="1" w:lastColumn="0" w:noHBand="0" w:noVBand="1"/>
      </w:tblPr>
      <w:tblGrid>
        <w:gridCol w:w="2588"/>
        <w:gridCol w:w="1531"/>
        <w:gridCol w:w="1531"/>
        <w:gridCol w:w="1531"/>
      </w:tblGrid>
      <w:tr w:rsidR="00445DD6" w:rsidRPr="002736E8" w14:paraId="6002B386" w14:textId="77777777" w:rsidTr="6341E0E9">
        <w:trPr>
          <w:trHeight w:val="390"/>
        </w:trPr>
        <w:tc>
          <w:tcPr>
            <w:tcW w:w="2588" w:type="dxa"/>
          </w:tcPr>
          <w:p w14:paraId="6C60B290" w14:textId="77777777" w:rsidR="00445DD6" w:rsidRPr="002736E8" w:rsidRDefault="00445DD6" w:rsidP="00C5671B">
            <w:pPr>
              <w:spacing w:line="260" w:lineRule="exact"/>
              <w:jc w:val="both"/>
              <w:rPr>
                <w:b/>
              </w:rPr>
            </w:pPr>
            <w:r w:rsidRPr="002736E8">
              <w:rPr>
                <w:b/>
              </w:rPr>
              <w:t xml:space="preserve">Fund </w:t>
            </w:r>
          </w:p>
        </w:tc>
        <w:tc>
          <w:tcPr>
            <w:tcW w:w="1531" w:type="dxa"/>
            <w:tcBorders>
              <w:bottom w:val="single" w:sz="4" w:space="0" w:color="auto"/>
            </w:tcBorders>
          </w:tcPr>
          <w:p w14:paraId="54AF3A9E" w14:textId="77777777" w:rsidR="00445DD6" w:rsidRPr="002736E8" w:rsidRDefault="00445DD6" w:rsidP="00C5671B">
            <w:pPr>
              <w:spacing w:line="260" w:lineRule="exact"/>
              <w:jc w:val="both"/>
              <w:rPr>
                <w:b/>
              </w:rPr>
            </w:pPr>
            <w:r>
              <w:rPr>
                <w:b/>
              </w:rPr>
              <w:t>CFB F</w:t>
            </w:r>
            <w:r w:rsidRPr="002736E8">
              <w:rPr>
                <w:b/>
              </w:rPr>
              <w:t>ees</w:t>
            </w:r>
          </w:p>
        </w:tc>
        <w:tc>
          <w:tcPr>
            <w:tcW w:w="1531" w:type="dxa"/>
            <w:tcBorders>
              <w:bottom w:val="single" w:sz="4" w:space="0" w:color="auto"/>
            </w:tcBorders>
          </w:tcPr>
          <w:p w14:paraId="6168A66C" w14:textId="389FB893" w:rsidR="00445DD6" w:rsidRPr="002736E8" w:rsidRDefault="74D180F5" w:rsidP="6FD3DBE0">
            <w:pPr>
              <w:spacing w:line="260" w:lineRule="exact"/>
              <w:jc w:val="both"/>
              <w:rPr>
                <w:b/>
                <w:bCs/>
              </w:rPr>
            </w:pPr>
            <w:r w:rsidRPr="6FD3DBE0">
              <w:rPr>
                <w:b/>
                <w:bCs/>
              </w:rPr>
              <w:t>JTC fees</w:t>
            </w:r>
          </w:p>
        </w:tc>
        <w:tc>
          <w:tcPr>
            <w:tcW w:w="1531" w:type="dxa"/>
            <w:tcBorders>
              <w:bottom w:val="single" w:sz="4" w:space="0" w:color="auto"/>
            </w:tcBorders>
          </w:tcPr>
          <w:p w14:paraId="095A4FA7" w14:textId="6278C3BB" w:rsidR="00445DD6" w:rsidRDefault="7DEF7D11" w:rsidP="6FD3DBE0">
            <w:pPr>
              <w:spacing w:line="260" w:lineRule="exact"/>
              <w:jc w:val="both"/>
              <w:rPr>
                <w:b/>
                <w:bCs/>
              </w:rPr>
            </w:pPr>
            <w:r w:rsidRPr="6FD3DBE0">
              <w:rPr>
                <w:b/>
                <w:bCs/>
              </w:rPr>
              <w:t>CACEIS fees</w:t>
            </w:r>
          </w:p>
        </w:tc>
      </w:tr>
      <w:tr w:rsidR="00445DD6" w:rsidRPr="002736E8" w14:paraId="509D724E" w14:textId="77777777" w:rsidTr="6341E0E9">
        <w:trPr>
          <w:trHeight w:val="300"/>
        </w:trPr>
        <w:tc>
          <w:tcPr>
            <w:tcW w:w="2588" w:type="dxa"/>
          </w:tcPr>
          <w:p w14:paraId="0EACCD3E" w14:textId="1890DC16" w:rsidR="00445DD6" w:rsidRPr="002736E8" w:rsidRDefault="00445DD6" w:rsidP="00C5671B">
            <w:pPr>
              <w:spacing w:line="260" w:lineRule="exact"/>
              <w:jc w:val="both"/>
            </w:pPr>
            <w:r>
              <w:t xml:space="preserve">CFB </w:t>
            </w:r>
            <w:r w:rsidR="53305DBD">
              <w:t>Deposit Fund</w:t>
            </w:r>
            <w:r w:rsidR="0DFE2075">
              <w:t xml:space="preserve"> (non TMCP)</w:t>
            </w:r>
          </w:p>
        </w:tc>
        <w:tc>
          <w:tcPr>
            <w:tcW w:w="1531" w:type="dxa"/>
          </w:tcPr>
          <w:p w14:paraId="164A8A1C" w14:textId="0D101C2F" w:rsidR="00445DD6" w:rsidRPr="00AD3474" w:rsidRDefault="00445DD6" w:rsidP="00C5671B">
            <w:pPr>
              <w:spacing w:line="260" w:lineRule="exact"/>
              <w:jc w:val="both"/>
            </w:pPr>
            <w:r>
              <w:t>0.</w:t>
            </w:r>
            <w:r w:rsidR="14A11FF4">
              <w:t>35</w:t>
            </w:r>
            <w:r>
              <w:t>%</w:t>
            </w:r>
          </w:p>
        </w:tc>
        <w:tc>
          <w:tcPr>
            <w:tcW w:w="1531" w:type="dxa"/>
            <w:vMerge w:val="restart"/>
          </w:tcPr>
          <w:p w14:paraId="44A10BB2" w14:textId="1C21BCE5" w:rsidR="00445DD6" w:rsidRPr="008F6B43" w:rsidRDefault="13D8929C" w:rsidP="00C5671B">
            <w:pPr>
              <w:spacing w:line="260" w:lineRule="exact"/>
              <w:jc w:val="both"/>
            </w:pPr>
            <w:r>
              <w:t xml:space="preserve">0.03% with a minimum of </w:t>
            </w:r>
            <w:r w:rsidR="29AC3D7F">
              <w:t>£130,000pa</w:t>
            </w:r>
          </w:p>
        </w:tc>
        <w:tc>
          <w:tcPr>
            <w:tcW w:w="1531" w:type="dxa"/>
            <w:vMerge w:val="restart"/>
          </w:tcPr>
          <w:p w14:paraId="3D248EC4" w14:textId="1900D60C" w:rsidR="00445DD6" w:rsidRPr="00FC2FE5" w:rsidRDefault="07A5CCA2" w:rsidP="00C5671B">
            <w:pPr>
              <w:spacing w:line="260" w:lineRule="exact"/>
              <w:jc w:val="both"/>
            </w:pPr>
            <w:r>
              <w:t>£</w:t>
            </w:r>
            <w:r w:rsidR="00FA64AF">
              <w:t>1</w:t>
            </w:r>
            <w:r w:rsidR="00CE643B">
              <w:t>5</w:t>
            </w:r>
            <w:r w:rsidR="5CAFAC11">
              <w:t>,000</w:t>
            </w:r>
          </w:p>
          <w:p w14:paraId="3A3794E8" w14:textId="50203691" w:rsidR="00445DD6" w:rsidRPr="00FC2FE5" w:rsidRDefault="5CAFAC11" w:rsidP="00C5671B">
            <w:pPr>
              <w:spacing w:line="260" w:lineRule="exact"/>
              <w:jc w:val="both"/>
            </w:pPr>
            <w:r>
              <w:t xml:space="preserve">Per </w:t>
            </w:r>
            <w:r w:rsidR="00FA64AF">
              <w:t>quarter</w:t>
            </w:r>
          </w:p>
        </w:tc>
      </w:tr>
      <w:tr w:rsidR="6341E0E9" w14:paraId="038DDDFA" w14:textId="77777777" w:rsidTr="6341E0E9">
        <w:trPr>
          <w:trHeight w:val="300"/>
        </w:trPr>
        <w:tc>
          <w:tcPr>
            <w:tcW w:w="2588" w:type="dxa"/>
          </w:tcPr>
          <w:p w14:paraId="7A9F9FE6" w14:textId="3E021BD7" w:rsidR="387EB436" w:rsidRDefault="387EB436" w:rsidP="6341E0E9">
            <w:pPr>
              <w:spacing w:line="260" w:lineRule="exact"/>
              <w:jc w:val="both"/>
            </w:pPr>
            <w:r>
              <w:t>CFB Deposit Fund (TMCP)</w:t>
            </w:r>
          </w:p>
        </w:tc>
        <w:tc>
          <w:tcPr>
            <w:tcW w:w="1531" w:type="dxa"/>
          </w:tcPr>
          <w:p w14:paraId="7FC088BC" w14:textId="670FFEA5" w:rsidR="387EB436" w:rsidRDefault="387EB436" w:rsidP="6341E0E9">
            <w:pPr>
              <w:spacing w:line="260" w:lineRule="exact"/>
              <w:jc w:val="both"/>
            </w:pPr>
            <w:r>
              <w:t>0.13%</w:t>
            </w:r>
          </w:p>
        </w:tc>
        <w:tc>
          <w:tcPr>
            <w:tcW w:w="1531" w:type="dxa"/>
            <w:vMerge/>
          </w:tcPr>
          <w:p w14:paraId="75F65BE5" w14:textId="77777777" w:rsidR="000D067A" w:rsidRDefault="000D067A"/>
        </w:tc>
        <w:tc>
          <w:tcPr>
            <w:tcW w:w="1531" w:type="dxa"/>
            <w:vMerge/>
          </w:tcPr>
          <w:p w14:paraId="023B4739" w14:textId="77777777" w:rsidR="000D067A" w:rsidRDefault="000D067A"/>
        </w:tc>
      </w:tr>
      <w:tr w:rsidR="0068619E" w:rsidRPr="002736E8" w14:paraId="1CBFA6FF" w14:textId="77777777" w:rsidTr="6341E0E9">
        <w:trPr>
          <w:trHeight w:val="300"/>
        </w:trPr>
        <w:tc>
          <w:tcPr>
            <w:tcW w:w="2588" w:type="dxa"/>
          </w:tcPr>
          <w:p w14:paraId="6419EA0A" w14:textId="5B49F74E" w:rsidR="0068619E" w:rsidRDefault="0068619E" w:rsidP="0068619E">
            <w:pPr>
              <w:spacing w:line="260" w:lineRule="exact"/>
              <w:jc w:val="both"/>
            </w:pPr>
            <w:r>
              <w:t>CFB Managed Mixed Fund</w:t>
            </w:r>
          </w:p>
        </w:tc>
        <w:tc>
          <w:tcPr>
            <w:tcW w:w="1531" w:type="dxa"/>
          </w:tcPr>
          <w:p w14:paraId="51347CBD" w14:textId="3FA15702" w:rsidR="0068619E" w:rsidRPr="00AD3474" w:rsidRDefault="0068619E" w:rsidP="0068619E">
            <w:pPr>
              <w:spacing w:line="260" w:lineRule="exact"/>
              <w:jc w:val="both"/>
            </w:pPr>
            <w:r w:rsidRPr="00140E23">
              <w:t>0.</w:t>
            </w:r>
            <w:r>
              <w:t>60%</w:t>
            </w:r>
          </w:p>
        </w:tc>
        <w:tc>
          <w:tcPr>
            <w:tcW w:w="1531" w:type="dxa"/>
          </w:tcPr>
          <w:p w14:paraId="2B93C23E" w14:textId="77777777" w:rsidR="0068619E" w:rsidRPr="00AD3474" w:rsidRDefault="0068619E" w:rsidP="0068619E">
            <w:pPr>
              <w:spacing w:line="260" w:lineRule="exact"/>
              <w:jc w:val="both"/>
            </w:pPr>
            <w:r>
              <w:t>£2,500</w:t>
            </w:r>
          </w:p>
          <w:p w14:paraId="65A24935" w14:textId="5E8F882F" w:rsidR="0068619E" w:rsidRDefault="0068619E" w:rsidP="0068619E">
            <w:pPr>
              <w:spacing w:line="260" w:lineRule="exact"/>
              <w:jc w:val="both"/>
            </w:pPr>
            <w:r>
              <w:t>per quarter</w:t>
            </w:r>
          </w:p>
        </w:tc>
        <w:tc>
          <w:tcPr>
            <w:tcW w:w="1531" w:type="dxa"/>
          </w:tcPr>
          <w:p w14:paraId="70FACA37" w14:textId="56953D1C" w:rsidR="0068619E" w:rsidRDefault="0068619E" w:rsidP="0068619E">
            <w:pPr>
              <w:spacing w:line="260" w:lineRule="exact"/>
              <w:jc w:val="both"/>
            </w:pPr>
            <w:r>
              <w:t>£</w:t>
            </w:r>
            <w:r w:rsidR="00E527BD">
              <w:t>3,000</w:t>
            </w:r>
            <w:r>
              <w:t xml:space="preserve"> </w:t>
            </w:r>
          </w:p>
          <w:p w14:paraId="1DDF5B56" w14:textId="3656499E" w:rsidR="0068619E" w:rsidRDefault="0068619E" w:rsidP="0068619E">
            <w:pPr>
              <w:spacing w:line="260" w:lineRule="exact"/>
              <w:jc w:val="both"/>
            </w:pPr>
            <w:r>
              <w:t xml:space="preserve">Per </w:t>
            </w:r>
            <w:r w:rsidR="00FA64AF">
              <w:t>quarter</w:t>
            </w:r>
          </w:p>
        </w:tc>
      </w:tr>
      <w:tr w:rsidR="0068619E" w:rsidRPr="002736E8" w14:paraId="768FB178" w14:textId="77777777" w:rsidTr="6341E0E9">
        <w:trPr>
          <w:trHeight w:val="300"/>
        </w:trPr>
        <w:tc>
          <w:tcPr>
            <w:tcW w:w="2588" w:type="dxa"/>
          </w:tcPr>
          <w:p w14:paraId="611E3683" w14:textId="40029B44" w:rsidR="0068619E" w:rsidRDefault="0068619E" w:rsidP="0068619E">
            <w:pPr>
              <w:spacing w:line="260" w:lineRule="exact"/>
              <w:jc w:val="both"/>
            </w:pPr>
            <w:r>
              <w:t>CFB Managed Fixed Interest Fund</w:t>
            </w:r>
          </w:p>
        </w:tc>
        <w:tc>
          <w:tcPr>
            <w:tcW w:w="1531" w:type="dxa"/>
          </w:tcPr>
          <w:p w14:paraId="39560CB0" w14:textId="71A750FF" w:rsidR="0068619E" w:rsidRDefault="0068619E" w:rsidP="0068619E">
            <w:pPr>
              <w:spacing w:line="260" w:lineRule="exact"/>
              <w:jc w:val="both"/>
            </w:pPr>
          </w:p>
          <w:p w14:paraId="5F1E232B" w14:textId="04511CCB" w:rsidR="0068619E" w:rsidRPr="00140E23" w:rsidRDefault="0068619E" w:rsidP="0068619E">
            <w:pPr>
              <w:spacing w:line="260" w:lineRule="exact"/>
              <w:jc w:val="both"/>
            </w:pPr>
            <w:r>
              <w:t>0.25%</w:t>
            </w:r>
          </w:p>
        </w:tc>
        <w:tc>
          <w:tcPr>
            <w:tcW w:w="1531" w:type="dxa"/>
          </w:tcPr>
          <w:p w14:paraId="093E113C" w14:textId="62217AD2" w:rsidR="0068619E" w:rsidRPr="00AD3474" w:rsidRDefault="0068619E" w:rsidP="0068619E">
            <w:pPr>
              <w:spacing w:line="260" w:lineRule="exact"/>
              <w:jc w:val="both"/>
            </w:pPr>
            <w:r>
              <w:t>£2,500</w:t>
            </w:r>
          </w:p>
          <w:p w14:paraId="223811D3" w14:textId="06203C25" w:rsidR="0068619E" w:rsidRPr="00AD3474" w:rsidRDefault="0068619E" w:rsidP="0068619E">
            <w:pPr>
              <w:spacing w:line="260" w:lineRule="exact"/>
              <w:jc w:val="both"/>
            </w:pPr>
            <w:r>
              <w:t>per quarter</w:t>
            </w:r>
          </w:p>
        </w:tc>
        <w:tc>
          <w:tcPr>
            <w:tcW w:w="1531" w:type="dxa"/>
          </w:tcPr>
          <w:p w14:paraId="73CAB674" w14:textId="77777777" w:rsidR="00E527BD" w:rsidRDefault="00E527BD" w:rsidP="00E527BD">
            <w:pPr>
              <w:spacing w:line="260" w:lineRule="exact"/>
              <w:jc w:val="both"/>
            </w:pPr>
            <w:r>
              <w:t xml:space="preserve">£3,000 </w:t>
            </w:r>
          </w:p>
          <w:p w14:paraId="5C108007" w14:textId="0AFD1C0F" w:rsidR="0068619E" w:rsidRDefault="00FA64AF" w:rsidP="0068619E">
            <w:pPr>
              <w:spacing w:line="260" w:lineRule="exact"/>
              <w:jc w:val="both"/>
            </w:pPr>
            <w:r>
              <w:t>Per quarter</w:t>
            </w:r>
          </w:p>
        </w:tc>
      </w:tr>
      <w:tr w:rsidR="0068619E" w:rsidRPr="002736E8" w14:paraId="05CD24DD" w14:textId="77777777" w:rsidTr="6341E0E9">
        <w:trPr>
          <w:trHeight w:val="300"/>
        </w:trPr>
        <w:tc>
          <w:tcPr>
            <w:tcW w:w="2588" w:type="dxa"/>
          </w:tcPr>
          <w:p w14:paraId="6FE4E5E2" w14:textId="49C26741" w:rsidR="0068619E" w:rsidDel="006957BE" w:rsidRDefault="0068619E" w:rsidP="0068619E">
            <w:pPr>
              <w:spacing w:line="260" w:lineRule="exact"/>
              <w:jc w:val="both"/>
            </w:pPr>
            <w:r>
              <w:t>CFB Managed Equity Fund</w:t>
            </w:r>
          </w:p>
        </w:tc>
        <w:tc>
          <w:tcPr>
            <w:tcW w:w="1531" w:type="dxa"/>
          </w:tcPr>
          <w:p w14:paraId="3B53F5FB" w14:textId="46B4A241" w:rsidR="0068619E" w:rsidDel="006957BE" w:rsidRDefault="0068619E" w:rsidP="0068619E">
            <w:pPr>
              <w:spacing w:line="260" w:lineRule="exact"/>
              <w:jc w:val="both"/>
            </w:pPr>
            <w:r>
              <w:t xml:space="preserve">0.60% </w:t>
            </w:r>
          </w:p>
        </w:tc>
        <w:tc>
          <w:tcPr>
            <w:tcW w:w="1531" w:type="dxa"/>
          </w:tcPr>
          <w:p w14:paraId="0C6432E4" w14:textId="34C0100A" w:rsidR="0068619E" w:rsidDel="00C53229" w:rsidRDefault="0068619E" w:rsidP="0068619E">
            <w:pPr>
              <w:spacing w:line="260" w:lineRule="exact"/>
              <w:jc w:val="both"/>
            </w:pPr>
            <w:r>
              <w:t>£2,500</w:t>
            </w:r>
          </w:p>
          <w:p w14:paraId="1F1060CC" w14:textId="66626AAD" w:rsidR="0068619E" w:rsidDel="00C53229" w:rsidRDefault="0068619E" w:rsidP="0068619E">
            <w:pPr>
              <w:spacing w:line="260" w:lineRule="exact"/>
              <w:jc w:val="both"/>
            </w:pPr>
            <w:r>
              <w:t>per quarter</w:t>
            </w:r>
          </w:p>
        </w:tc>
        <w:tc>
          <w:tcPr>
            <w:tcW w:w="1531" w:type="dxa"/>
          </w:tcPr>
          <w:p w14:paraId="16C0A242" w14:textId="77777777" w:rsidR="00E527BD" w:rsidRDefault="00E527BD" w:rsidP="00E527BD">
            <w:pPr>
              <w:spacing w:line="260" w:lineRule="exact"/>
              <w:jc w:val="both"/>
            </w:pPr>
            <w:r>
              <w:t xml:space="preserve">£3,000 </w:t>
            </w:r>
          </w:p>
          <w:p w14:paraId="525E37F1" w14:textId="35417EC2" w:rsidR="0068619E" w:rsidDel="00C53229" w:rsidRDefault="00FA64AF" w:rsidP="0068619E">
            <w:pPr>
              <w:spacing w:line="260" w:lineRule="exact"/>
              <w:jc w:val="both"/>
            </w:pPr>
            <w:r>
              <w:t>Per quarter</w:t>
            </w:r>
          </w:p>
        </w:tc>
      </w:tr>
      <w:tr w:rsidR="0068619E" w:rsidRPr="002736E8" w14:paraId="7F9EDF26" w14:textId="77777777" w:rsidTr="6341E0E9">
        <w:trPr>
          <w:trHeight w:val="300"/>
        </w:trPr>
        <w:tc>
          <w:tcPr>
            <w:tcW w:w="2588" w:type="dxa"/>
          </w:tcPr>
          <w:p w14:paraId="28478E56" w14:textId="1A9BE42E" w:rsidR="0068619E" w:rsidRPr="0041656A" w:rsidRDefault="0068619E" w:rsidP="0068619E">
            <w:pPr>
              <w:jc w:val="both"/>
              <w:rPr>
                <w:bCs/>
              </w:rPr>
            </w:pPr>
            <w:r>
              <w:rPr>
                <w:bCs/>
              </w:rPr>
              <w:t>Connexional</w:t>
            </w:r>
            <w:r w:rsidRPr="0041656A">
              <w:rPr>
                <w:bCs/>
              </w:rPr>
              <w:t xml:space="preserve"> Council Long Term Fund</w:t>
            </w:r>
          </w:p>
          <w:p w14:paraId="2FC4536F" w14:textId="77777777" w:rsidR="0068619E" w:rsidRPr="00EF7CD7" w:rsidRDefault="0068619E" w:rsidP="0068619E">
            <w:pPr>
              <w:spacing w:line="260" w:lineRule="exact"/>
              <w:jc w:val="both"/>
              <w:rPr>
                <w:bCs/>
              </w:rPr>
            </w:pPr>
          </w:p>
        </w:tc>
        <w:tc>
          <w:tcPr>
            <w:tcW w:w="1531" w:type="dxa"/>
          </w:tcPr>
          <w:p w14:paraId="19C19634" w14:textId="041ED357" w:rsidR="0068619E" w:rsidRDefault="0068619E" w:rsidP="0068619E">
            <w:pPr>
              <w:spacing w:line="260" w:lineRule="exact"/>
              <w:jc w:val="both"/>
            </w:pPr>
            <w:r>
              <w:t>0.65%</w:t>
            </w:r>
          </w:p>
        </w:tc>
        <w:tc>
          <w:tcPr>
            <w:tcW w:w="1531" w:type="dxa"/>
          </w:tcPr>
          <w:p w14:paraId="0C59D265" w14:textId="21D0DB7E" w:rsidR="0068619E" w:rsidRDefault="0068619E" w:rsidP="0068619E">
            <w:pPr>
              <w:spacing w:line="260" w:lineRule="exact"/>
              <w:jc w:val="both"/>
            </w:pPr>
            <w:r>
              <w:t>£2,500</w:t>
            </w:r>
          </w:p>
          <w:p w14:paraId="32AC0A4E" w14:textId="40346970" w:rsidR="0068619E" w:rsidRDefault="0068619E" w:rsidP="0068619E">
            <w:pPr>
              <w:spacing w:line="260" w:lineRule="exact"/>
              <w:jc w:val="both"/>
            </w:pPr>
            <w:r>
              <w:t>per quarter</w:t>
            </w:r>
          </w:p>
        </w:tc>
        <w:tc>
          <w:tcPr>
            <w:tcW w:w="1531" w:type="dxa"/>
          </w:tcPr>
          <w:p w14:paraId="1E8DFD96" w14:textId="77777777" w:rsidR="00E527BD" w:rsidRDefault="00E527BD" w:rsidP="00E527BD">
            <w:pPr>
              <w:spacing w:line="260" w:lineRule="exact"/>
              <w:jc w:val="both"/>
            </w:pPr>
            <w:r>
              <w:t xml:space="preserve">£3,000 </w:t>
            </w:r>
          </w:p>
          <w:p w14:paraId="0D141BC5" w14:textId="2F1F33CB" w:rsidR="0068619E" w:rsidRDefault="00FA64AF" w:rsidP="0068619E">
            <w:pPr>
              <w:spacing w:line="260" w:lineRule="exact"/>
              <w:jc w:val="both"/>
            </w:pPr>
            <w:r>
              <w:t>Per quarter</w:t>
            </w:r>
          </w:p>
        </w:tc>
      </w:tr>
      <w:tr w:rsidR="0068619E" w:rsidRPr="002736E8" w14:paraId="6B5A3240" w14:textId="77777777" w:rsidTr="6341E0E9">
        <w:trPr>
          <w:trHeight w:val="300"/>
        </w:trPr>
        <w:tc>
          <w:tcPr>
            <w:tcW w:w="2588" w:type="dxa"/>
          </w:tcPr>
          <w:p w14:paraId="66D0461A" w14:textId="34EAAB1C" w:rsidR="0068619E" w:rsidRPr="0041656A" w:rsidRDefault="0068619E" w:rsidP="0068619E">
            <w:pPr>
              <w:rPr>
                <w:bCs/>
              </w:rPr>
            </w:pPr>
            <w:r>
              <w:rPr>
                <w:bCs/>
              </w:rPr>
              <w:t>Connexional</w:t>
            </w:r>
            <w:r w:rsidRPr="0041656A">
              <w:rPr>
                <w:bCs/>
              </w:rPr>
              <w:t xml:space="preserve"> Council Medium Term Fund</w:t>
            </w:r>
          </w:p>
          <w:p w14:paraId="75EF221D" w14:textId="77777777" w:rsidR="0068619E" w:rsidRPr="00EF7CD7" w:rsidRDefault="0068619E" w:rsidP="0068619E">
            <w:pPr>
              <w:spacing w:line="260" w:lineRule="exact"/>
              <w:jc w:val="both"/>
              <w:rPr>
                <w:bCs/>
              </w:rPr>
            </w:pPr>
          </w:p>
        </w:tc>
        <w:tc>
          <w:tcPr>
            <w:tcW w:w="1531" w:type="dxa"/>
          </w:tcPr>
          <w:p w14:paraId="71FCB91B" w14:textId="15323945" w:rsidR="0068619E" w:rsidRDefault="0068619E" w:rsidP="0068619E">
            <w:pPr>
              <w:spacing w:line="260" w:lineRule="exact"/>
              <w:jc w:val="both"/>
            </w:pPr>
            <w:r>
              <w:t>0.65%</w:t>
            </w:r>
          </w:p>
        </w:tc>
        <w:tc>
          <w:tcPr>
            <w:tcW w:w="1531" w:type="dxa"/>
          </w:tcPr>
          <w:p w14:paraId="36CE7EB5" w14:textId="4ACB4C3D" w:rsidR="0068619E" w:rsidRDefault="0068619E" w:rsidP="0068619E">
            <w:pPr>
              <w:spacing w:line="260" w:lineRule="exact"/>
              <w:jc w:val="both"/>
            </w:pPr>
            <w:r>
              <w:t>£2,500</w:t>
            </w:r>
          </w:p>
          <w:p w14:paraId="063EE608" w14:textId="1C8E5A3F" w:rsidR="0068619E" w:rsidRDefault="0068619E" w:rsidP="0068619E">
            <w:pPr>
              <w:spacing w:line="260" w:lineRule="exact"/>
              <w:jc w:val="both"/>
            </w:pPr>
            <w:r>
              <w:t>per quarter</w:t>
            </w:r>
          </w:p>
          <w:p w14:paraId="07562358" w14:textId="3437F51D" w:rsidR="0068619E" w:rsidRDefault="0068619E" w:rsidP="0068619E">
            <w:pPr>
              <w:spacing w:line="260" w:lineRule="exact"/>
              <w:jc w:val="both"/>
            </w:pPr>
          </w:p>
        </w:tc>
        <w:tc>
          <w:tcPr>
            <w:tcW w:w="1531" w:type="dxa"/>
          </w:tcPr>
          <w:p w14:paraId="061A20CA" w14:textId="77777777" w:rsidR="00E527BD" w:rsidRDefault="00E527BD" w:rsidP="00E527BD">
            <w:pPr>
              <w:spacing w:line="260" w:lineRule="exact"/>
              <w:jc w:val="both"/>
            </w:pPr>
            <w:r>
              <w:t xml:space="preserve">£3,000 </w:t>
            </w:r>
          </w:p>
          <w:p w14:paraId="0E96950E" w14:textId="68199A39" w:rsidR="0068619E" w:rsidRDefault="00FA64AF" w:rsidP="0068619E">
            <w:pPr>
              <w:spacing w:line="260" w:lineRule="exact"/>
              <w:jc w:val="both"/>
            </w:pPr>
            <w:r>
              <w:t>Per quarter</w:t>
            </w:r>
          </w:p>
        </w:tc>
      </w:tr>
    </w:tbl>
    <w:p w14:paraId="24795FE4" w14:textId="77777777" w:rsidR="00C5671B" w:rsidRPr="002736E8" w:rsidRDefault="00C5671B" w:rsidP="00C5671B">
      <w:pPr>
        <w:spacing w:after="0" w:line="260" w:lineRule="exact"/>
        <w:jc w:val="both"/>
        <w:rPr>
          <w:rFonts w:ascii="Arial" w:eastAsia="Times New Roman" w:hAnsi="Arial" w:cs="Times New Roman"/>
          <w:color w:val="000000"/>
          <w:sz w:val="20"/>
          <w:szCs w:val="20"/>
          <w:lang w:eastAsia="en-GB"/>
        </w:rPr>
      </w:pPr>
    </w:p>
    <w:p w14:paraId="5F606280" w14:textId="77777777" w:rsidR="00C5671B" w:rsidRPr="006D309C" w:rsidRDefault="00C5671B" w:rsidP="00C5671B">
      <w:pPr>
        <w:spacing w:after="0" w:line="240" w:lineRule="auto"/>
        <w:jc w:val="both"/>
        <w:rPr>
          <w:b/>
          <w:i/>
        </w:rPr>
      </w:pPr>
      <w:r w:rsidRPr="006D309C">
        <w:rPr>
          <w:b/>
          <w:i/>
        </w:rPr>
        <w:t>CFB Fees</w:t>
      </w:r>
    </w:p>
    <w:p w14:paraId="63F0275D" w14:textId="6BA61498" w:rsidR="00C5671B" w:rsidRDefault="00C5671B" w:rsidP="00C5671B">
      <w:pPr>
        <w:spacing w:after="0" w:line="240" w:lineRule="auto"/>
        <w:jc w:val="both"/>
      </w:pPr>
      <w:r>
        <w:t>These fees cover all administrative expenses in relation to the management of the Funds, including audit, legal, safe custody</w:t>
      </w:r>
      <w:r w:rsidR="00B208F9">
        <w:t xml:space="preserve"> and transaction charges</w:t>
      </w:r>
      <w:r>
        <w:t xml:space="preserve">. They are recovered by deduction from </w:t>
      </w:r>
      <w:r w:rsidR="009F54AD">
        <w:t>the capital account of the relevant Fund</w:t>
      </w:r>
      <w:r w:rsidR="723F48A6">
        <w:t>.</w:t>
      </w:r>
      <w:r>
        <w:t xml:space="preserve">  No other management charges are levied.   </w:t>
      </w:r>
    </w:p>
    <w:p w14:paraId="0F23155F" w14:textId="77777777" w:rsidR="00C5671B" w:rsidRDefault="00C5671B" w:rsidP="00C5671B">
      <w:pPr>
        <w:spacing w:after="0" w:line="240" w:lineRule="auto"/>
        <w:jc w:val="both"/>
      </w:pPr>
    </w:p>
    <w:p w14:paraId="4FF79748" w14:textId="43D40BA9" w:rsidR="00C5671B" w:rsidRDefault="00C5671B" w:rsidP="6FD3DBE0">
      <w:pPr>
        <w:spacing w:after="0" w:line="240" w:lineRule="auto"/>
        <w:jc w:val="both"/>
      </w:pPr>
      <w:r>
        <w:t xml:space="preserve">The CFB Fees are charged to the funds </w:t>
      </w:r>
      <w:r w:rsidR="738FF8C6">
        <w:t>on each dealing day</w:t>
      </w:r>
      <w:r>
        <w:t xml:space="preserve"> based on the net assets of each Fund at </w:t>
      </w:r>
      <w:r w:rsidR="26961637">
        <w:t>that point</w:t>
      </w:r>
      <w:r>
        <w:t xml:space="preserve">.  </w:t>
      </w:r>
      <w:r w:rsidR="00B208F9">
        <w:t>Fees are not charged on undistributed income.</w:t>
      </w:r>
    </w:p>
    <w:p w14:paraId="687380B7" w14:textId="77777777" w:rsidR="00AD3474" w:rsidRDefault="00AD3474" w:rsidP="00C5671B">
      <w:pPr>
        <w:spacing w:after="0" w:line="240" w:lineRule="auto"/>
        <w:jc w:val="both"/>
      </w:pPr>
    </w:p>
    <w:p w14:paraId="40DA0993" w14:textId="77777777" w:rsidR="00C5671B" w:rsidRDefault="00C5671B" w:rsidP="00C5671B">
      <w:pPr>
        <w:spacing w:after="0" w:line="260" w:lineRule="exact"/>
        <w:jc w:val="both"/>
        <w:rPr>
          <w:rFonts w:ascii="Arial" w:eastAsia="Times New Roman" w:hAnsi="Arial" w:cs="Times New Roman"/>
          <w:color w:val="000000"/>
          <w:sz w:val="20"/>
          <w:szCs w:val="20"/>
          <w:lang w:eastAsia="en-GB"/>
        </w:rPr>
      </w:pPr>
    </w:p>
    <w:p w14:paraId="10C08EF6" w14:textId="77777777" w:rsidR="00C5671B" w:rsidRPr="00140E23" w:rsidRDefault="00C5671B" w:rsidP="00C5671B">
      <w:pPr>
        <w:spacing w:after="0" w:line="260" w:lineRule="exact"/>
        <w:jc w:val="both"/>
        <w:rPr>
          <w:rFonts w:eastAsia="Times New Roman" w:cs="Times New Roman"/>
          <w:b/>
          <w:color w:val="000000"/>
          <w:sz w:val="20"/>
          <w:szCs w:val="20"/>
          <w:lang w:eastAsia="en-GB"/>
        </w:rPr>
      </w:pPr>
    </w:p>
    <w:p w14:paraId="7DA018FF" w14:textId="77777777" w:rsidR="00C5671B" w:rsidRPr="00FA6EF2" w:rsidRDefault="00C5671B" w:rsidP="00C5671B">
      <w:pPr>
        <w:spacing w:after="0" w:line="260" w:lineRule="exact"/>
        <w:jc w:val="both"/>
        <w:rPr>
          <w:rFonts w:ascii="Arial" w:eastAsia="Times New Roman" w:hAnsi="Arial" w:cs="Times New Roman"/>
          <w:b/>
          <w:color w:val="000000"/>
          <w:sz w:val="20"/>
          <w:szCs w:val="20"/>
          <w:lang w:eastAsia="en-GB"/>
        </w:rPr>
      </w:pPr>
    </w:p>
    <w:p w14:paraId="01EBFB6E" w14:textId="77777777" w:rsidR="00C5671B" w:rsidRDefault="00C5671B">
      <w:r>
        <w:br w:type="page"/>
      </w:r>
    </w:p>
    <w:p w14:paraId="39CFC390" w14:textId="77777777" w:rsidR="004F7339" w:rsidRDefault="004F7339" w:rsidP="004F7339"/>
    <w:p w14:paraId="728E2D06" w14:textId="3A95BFD3" w:rsidR="004F7339" w:rsidRDefault="00C46463" w:rsidP="6FD3DBE0">
      <w:pPr>
        <w:spacing w:after="0"/>
        <w:jc w:val="center"/>
        <w:rPr>
          <w:b/>
          <w:bCs/>
        </w:rPr>
      </w:pPr>
      <w:r w:rsidRPr="6FD3DBE0">
        <w:rPr>
          <w:b/>
          <w:bCs/>
        </w:rPr>
        <w:t xml:space="preserve">Appendix </w:t>
      </w:r>
      <w:r w:rsidR="654801CA" w:rsidRPr="6FD3DBE0">
        <w:rPr>
          <w:b/>
          <w:bCs/>
        </w:rPr>
        <w:t>Three</w:t>
      </w:r>
    </w:p>
    <w:p w14:paraId="5362247B" w14:textId="77777777" w:rsidR="00C46463" w:rsidRDefault="00C46463" w:rsidP="004F7339">
      <w:pPr>
        <w:spacing w:after="0"/>
        <w:jc w:val="center"/>
        <w:rPr>
          <w:b/>
        </w:rPr>
      </w:pPr>
      <w:r w:rsidRPr="00C46463">
        <w:rPr>
          <w:b/>
        </w:rPr>
        <w:t>Risk Warnings</w:t>
      </w:r>
    </w:p>
    <w:p w14:paraId="771E72B3" w14:textId="77777777" w:rsidR="00C46463" w:rsidRDefault="00C46463" w:rsidP="00C46463">
      <w:pPr>
        <w:spacing w:after="0"/>
        <w:jc w:val="center"/>
        <w:rPr>
          <w:b/>
        </w:rPr>
      </w:pPr>
    </w:p>
    <w:p w14:paraId="66232C12" w14:textId="77777777" w:rsidR="00981005" w:rsidRDefault="00C46463" w:rsidP="00C46463">
      <w:pPr>
        <w:jc w:val="both"/>
      </w:pPr>
      <w:r w:rsidRPr="003F10B0">
        <w:t>The following risks may ap</w:t>
      </w:r>
      <w:r w:rsidR="00981005">
        <w:t xml:space="preserve">ply to some or </w:t>
      </w:r>
      <w:proofErr w:type="gramStart"/>
      <w:r w:rsidR="00981005">
        <w:t>all of</w:t>
      </w:r>
      <w:proofErr w:type="gramEnd"/>
      <w:r w:rsidR="00981005">
        <w:t xml:space="preserve"> the Funds</w:t>
      </w:r>
    </w:p>
    <w:p w14:paraId="6E5E8FDE" w14:textId="77777777" w:rsidR="0087094F" w:rsidRDefault="0087094F" w:rsidP="0087094F">
      <w:pPr>
        <w:pStyle w:val="Epworth-Level2Title"/>
        <w:numPr>
          <w:ilvl w:val="0"/>
          <w:numId w:val="0"/>
        </w:numPr>
        <w:rPr>
          <w:rFonts w:asciiTheme="minorHAnsi" w:hAnsiTheme="minorHAnsi"/>
          <w:b w:val="0"/>
          <w:i/>
          <w:color w:val="000000" w:themeColor="text1"/>
          <w:sz w:val="22"/>
          <w:szCs w:val="22"/>
        </w:rPr>
      </w:pPr>
      <w:r>
        <w:rPr>
          <w:rFonts w:asciiTheme="minorHAnsi" w:hAnsiTheme="minorHAnsi"/>
          <w:b w:val="0"/>
          <w:i/>
          <w:color w:val="000000" w:themeColor="text1"/>
          <w:sz w:val="22"/>
          <w:szCs w:val="22"/>
        </w:rPr>
        <w:t>Regulatory status</w:t>
      </w:r>
    </w:p>
    <w:p w14:paraId="3CC235FA" w14:textId="77777777" w:rsidR="00F2134C" w:rsidRPr="0087094F" w:rsidRDefault="00F2134C" w:rsidP="0087094F">
      <w:pPr>
        <w:pStyle w:val="Epworth-Level2Title"/>
        <w:numPr>
          <w:ilvl w:val="0"/>
          <w:numId w:val="0"/>
        </w:numPr>
        <w:rPr>
          <w:rFonts w:asciiTheme="minorHAnsi" w:hAnsiTheme="minorHAnsi"/>
          <w:b w:val="0"/>
          <w:i/>
          <w:color w:val="000000" w:themeColor="text1"/>
          <w:sz w:val="22"/>
          <w:szCs w:val="22"/>
        </w:rPr>
      </w:pPr>
      <w:r w:rsidRPr="00F2134C">
        <w:rPr>
          <w:rFonts w:asciiTheme="minorHAnsi" w:hAnsiTheme="minorHAnsi"/>
          <w:b w:val="0"/>
          <w:color w:val="000000" w:themeColor="text1"/>
          <w:sz w:val="22"/>
          <w:szCs w:val="22"/>
        </w:rPr>
        <w:t>The CFB Funds are not regulated by the FCA or any other UK supervisory body. The Manager is therefore not subject to the level of external oversight of comparable regulated funds. No investor in CFB Funds has recourse to the Financial Ombudsman or to the Financial Services Compensation Scheme.</w:t>
      </w:r>
    </w:p>
    <w:p w14:paraId="019D9B41" w14:textId="77777777" w:rsidR="000F0919" w:rsidRPr="002344C0" w:rsidRDefault="000F0919" w:rsidP="002344C0">
      <w:pPr>
        <w:pStyle w:val="Epworth-Level2Title"/>
        <w:numPr>
          <w:ilvl w:val="0"/>
          <w:numId w:val="0"/>
        </w:numPr>
        <w:rPr>
          <w:rFonts w:asciiTheme="minorHAnsi" w:hAnsiTheme="minorHAnsi"/>
          <w:b w:val="0"/>
          <w:i/>
          <w:color w:val="000000" w:themeColor="text1"/>
          <w:sz w:val="22"/>
          <w:szCs w:val="22"/>
        </w:rPr>
      </w:pPr>
      <w:r w:rsidRPr="002344C0">
        <w:rPr>
          <w:rFonts w:asciiTheme="minorHAnsi" w:hAnsiTheme="minorHAnsi"/>
          <w:b w:val="0"/>
          <w:i/>
          <w:color w:val="000000" w:themeColor="text1"/>
          <w:sz w:val="22"/>
          <w:szCs w:val="22"/>
        </w:rPr>
        <w:t>Market risk</w:t>
      </w:r>
      <w:bookmarkStart w:id="1" w:name="_NN27"/>
      <w:bookmarkEnd w:id="1"/>
    </w:p>
    <w:p w14:paraId="1659C184" w14:textId="77777777" w:rsidR="002344C0" w:rsidRDefault="000F0919" w:rsidP="002344C0">
      <w:pPr>
        <w:pStyle w:val="BodyTextIndent2"/>
        <w:tabs>
          <w:tab w:val="clear" w:pos="7230"/>
        </w:tabs>
        <w:ind w:left="0"/>
        <w:jc w:val="both"/>
        <w:rPr>
          <w:rFonts w:asciiTheme="minorHAnsi" w:hAnsiTheme="minorHAnsi"/>
          <w:sz w:val="22"/>
          <w:szCs w:val="22"/>
        </w:rPr>
      </w:pPr>
      <w:r w:rsidRPr="002344C0">
        <w:rPr>
          <w:rFonts w:asciiTheme="minorHAnsi" w:hAnsiTheme="minorHAnsi"/>
          <w:sz w:val="22"/>
          <w:szCs w:val="22"/>
        </w:rPr>
        <w:t xml:space="preserve">The investments of the Trust are subject to normal market fluctuations and other risks inherent in investing in securities.  There can be no assurance that any appreciation in the value of investments will occur.  The value of investments and the income derived from them may fall as well as rise and investors may not recoup the original amount they invest in </w:t>
      </w:r>
      <w:r w:rsidR="002344C0">
        <w:rPr>
          <w:rFonts w:asciiTheme="minorHAnsi" w:hAnsiTheme="minorHAnsi"/>
          <w:sz w:val="22"/>
          <w:szCs w:val="22"/>
        </w:rPr>
        <w:t>a Fund</w:t>
      </w:r>
      <w:r w:rsidRPr="002344C0">
        <w:rPr>
          <w:rFonts w:asciiTheme="minorHAnsi" w:hAnsiTheme="minorHAnsi"/>
          <w:sz w:val="22"/>
          <w:szCs w:val="22"/>
        </w:rPr>
        <w:t xml:space="preserve">. There is no certainty that the investment objective of any </w:t>
      </w:r>
      <w:r w:rsidR="002344C0">
        <w:rPr>
          <w:rFonts w:asciiTheme="minorHAnsi" w:hAnsiTheme="minorHAnsi"/>
          <w:sz w:val="22"/>
          <w:szCs w:val="22"/>
        </w:rPr>
        <w:t>F</w:t>
      </w:r>
      <w:r w:rsidRPr="002344C0">
        <w:rPr>
          <w:rFonts w:asciiTheme="minorHAnsi" w:hAnsiTheme="minorHAnsi"/>
          <w:sz w:val="22"/>
          <w:szCs w:val="22"/>
        </w:rPr>
        <w:t xml:space="preserve">und will </w:t>
      </w:r>
      <w:proofErr w:type="gramStart"/>
      <w:r w:rsidRPr="002344C0">
        <w:rPr>
          <w:rFonts w:asciiTheme="minorHAnsi" w:hAnsiTheme="minorHAnsi"/>
          <w:sz w:val="22"/>
          <w:szCs w:val="22"/>
        </w:rPr>
        <w:t>actually be</w:t>
      </w:r>
      <w:proofErr w:type="gramEnd"/>
      <w:r w:rsidRPr="002344C0">
        <w:rPr>
          <w:rFonts w:asciiTheme="minorHAnsi" w:hAnsiTheme="minorHAnsi"/>
          <w:sz w:val="22"/>
          <w:szCs w:val="22"/>
        </w:rPr>
        <w:t xml:space="preserve"> achieved and no warranty or representation is given to this effect.  Past performance is no guide to the future</w:t>
      </w:r>
      <w:r w:rsidR="002344C0">
        <w:rPr>
          <w:rFonts w:asciiTheme="minorHAnsi" w:hAnsiTheme="minorHAnsi"/>
          <w:sz w:val="22"/>
          <w:szCs w:val="22"/>
        </w:rPr>
        <w:t>.</w:t>
      </w:r>
    </w:p>
    <w:p w14:paraId="0C61A193" w14:textId="77777777" w:rsidR="002344C0" w:rsidRDefault="002344C0" w:rsidP="002344C0">
      <w:pPr>
        <w:pStyle w:val="BodyTextIndent2"/>
        <w:tabs>
          <w:tab w:val="clear" w:pos="7230"/>
        </w:tabs>
        <w:ind w:left="0"/>
        <w:jc w:val="both"/>
        <w:rPr>
          <w:rFonts w:asciiTheme="minorHAnsi" w:hAnsiTheme="minorHAnsi"/>
          <w:sz w:val="22"/>
          <w:szCs w:val="22"/>
        </w:rPr>
      </w:pPr>
    </w:p>
    <w:p w14:paraId="1880415C" w14:textId="77777777" w:rsidR="00C46463" w:rsidRPr="002344C0" w:rsidRDefault="00C46463" w:rsidP="002344C0">
      <w:pPr>
        <w:pStyle w:val="BodyTextIndent2"/>
        <w:tabs>
          <w:tab w:val="clear" w:pos="7230"/>
        </w:tabs>
        <w:ind w:left="0"/>
        <w:jc w:val="both"/>
        <w:rPr>
          <w:rFonts w:asciiTheme="minorHAnsi" w:hAnsiTheme="minorHAnsi"/>
          <w:i/>
          <w:sz w:val="22"/>
          <w:szCs w:val="22"/>
        </w:rPr>
      </w:pPr>
      <w:r w:rsidRPr="002344C0">
        <w:rPr>
          <w:rFonts w:asciiTheme="minorHAnsi" w:hAnsiTheme="minorHAnsi"/>
          <w:i/>
          <w:sz w:val="22"/>
          <w:szCs w:val="22"/>
        </w:rPr>
        <w:t>Credit risk</w:t>
      </w:r>
    </w:p>
    <w:p w14:paraId="0B58240E" w14:textId="77777777" w:rsidR="00C46463" w:rsidRPr="002344C0" w:rsidRDefault="00C46463" w:rsidP="00C46463">
      <w:pPr>
        <w:pStyle w:val="BodyTextIndent2"/>
        <w:tabs>
          <w:tab w:val="clear" w:pos="7230"/>
        </w:tabs>
        <w:jc w:val="both"/>
        <w:rPr>
          <w:rFonts w:asciiTheme="minorHAnsi" w:hAnsiTheme="minorHAnsi"/>
          <w:b/>
          <w:sz w:val="22"/>
          <w:szCs w:val="22"/>
        </w:rPr>
      </w:pPr>
    </w:p>
    <w:p w14:paraId="4F6BDCB4" w14:textId="77777777" w:rsidR="00C46463" w:rsidRPr="002344C0" w:rsidRDefault="00C46463" w:rsidP="00C46463">
      <w:pPr>
        <w:pStyle w:val="BodyTextIndent2"/>
        <w:tabs>
          <w:tab w:val="clear" w:pos="7230"/>
        </w:tabs>
        <w:ind w:left="0"/>
        <w:jc w:val="both"/>
        <w:rPr>
          <w:rFonts w:asciiTheme="minorHAnsi" w:hAnsiTheme="minorHAnsi"/>
          <w:sz w:val="22"/>
          <w:szCs w:val="22"/>
        </w:rPr>
      </w:pPr>
      <w:r w:rsidRPr="002344C0">
        <w:rPr>
          <w:rFonts w:asciiTheme="minorHAnsi" w:hAnsiTheme="minorHAnsi"/>
          <w:sz w:val="22"/>
          <w:szCs w:val="22"/>
        </w:rPr>
        <w:t>The Funds’ transactions in securities expose them to the risk that a counterparty will not deliver the investment for a purchase or the cash for a sale.  To minimise this, the Funds only deal with an approved list of brokers maintained by the Council.</w:t>
      </w:r>
    </w:p>
    <w:p w14:paraId="77FEBCA4" w14:textId="77777777" w:rsidR="00C46463" w:rsidRPr="002344C0" w:rsidRDefault="00C46463" w:rsidP="00C46463">
      <w:pPr>
        <w:pStyle w:val="BodyTextIndent2"/>
        <w:tabs>
          <w:tab w:val="clear" w:pos="7230"/>
        </w:tabs>
        <w:jc w:val="both"/>
        <w:rPr>
          <w:rFonts w:asciiTheme="minorHAnsi" w:hAnsiTheme="minorHAnsi"/>
          <w:sz w:val="22"/>
          <w:szCs w:val="22"/>
        </w:rPr>
      </w:pPr>
    </w:p>
    <w:p w14:paraId="0297E09C" w14:textId="4AB95926" w:rsidR="00C46463" w:rsidRPr="002344C0" w:rsidRDefault="00C46463" w:rsidP="00C46463">
      <w:pPr>
        <w:pStyle w:val="BodyTextIndent2"/>
        <w:tabs>
          <w:tab w:val="clear" w:pos="7230"/>
          <w:tab w:val="decimal" w:pos="6750"/>
          <w:tab w:val="decimal" w:pos="8190"/>
        </w:tabs>
        <w:ind w:left="0"/>
        <w:jc w:val="both"/>
        <w:rPr>
          <w:rFonts w:asciiTheme="minorHAnsi" w:hAnsiTheme="minorHAnsi"/>
          <w:sz w:val="22"/>
          <w:szCs w:val="22"/>
        </w:rPr>
      </w:pPr>
      <w:r w:rsidRPr="002344C0">
        <w:rPr>
          <w:rFonts w:asciiTheme="minorHAnsi" w:hAnsiTheme="minorHAnsi"/>
          <w:sz w:val="22"/>
          <w:szCs w:val="22"/>
        </w:rPr>
        <w:t xml:space="preserve">The Deposit Fund invests in the </w:t>
      </w:r>
      <w:r w:rsidR="00831FA3">
        <w:rPr>
          <w:rFonts w:asciiTheme="minorHAnsi" w:hAnsiTheme="minorHAnsi"/>
          <w:sz w:val="22"/>
          <w:szCs w:val="22"/>
        </w:rPr>
        <w:t xml:space="preserve">Epworth Cash </w:t>
      </w:r>
      <w:proofErr w:type="gramStart"/>
      <w:r w:rsidR="00831FA3">
        <w:rPr>
          <w:rFonts w:asciiTheme="minorHAnsi" w:hAnsiTheme="minorHAnsi"/>
          <w:sz w:val="22"/>
          <w:szCs w:val="22"/>
        </w:rPr>
        <w:t xml:space="preserve">Plus </w:t>
      </w:r>
      <w:r w:rsidRPr="002344C0">
        <w:rPr>
          <w:rFonts w:asciiTheme="minorHAnsi" w:hAnsiTheme="minorHAnsi"/>
          <w:sz w:val="22"/>
          <w:szCs w:val="22"/>
        </w:rPr>
        <w:t xml:space="preserve"> Fund</w:t>
      </w:r>
      <w:proofErr w:type="gramEnd"/>
      <w:r w:rsidR="00831FA3">
        <w:rPr>
          <w:rFonts w:asciiTheme="minorHAnsi" w:hAnsiTheme="minorHAnsi"/>
          <w:sz w:val="22"/>
          <w:szCs w:val="22"/>
        </w:rPr>
        <w:t xml:space="preserve"> for Charities</w:t>
      </w:r>
      <w:r w:rsidRPr="002344C0">
        <w:rPr>
          <w:rFonts w:asciiTheme="minorHAnsi" w:hAnsiTheme="minorHAnsi"/>
          <w:sz w:val="22"/>
          <w:szCs w:val="22"/>
        </w:rPr>
        <w:t xml:space="preserve">. This Fund’s transactions </w:t>
      </w:r>
      <w:proofErr w:type="gramStart"/>
      <w:r w:rsidRPr="002344C0">
        <w:rPr>
          <w:rFonts w:asciiTheme="minorHAnsi" w:hAnsiTheme="minorHAnsi"/>
          <w:sz w:val="22"/>
          <w:szCs w:val="22"/>
        </w:rPr>
        <w:t>exposes</w:t>
      </w:r>
      <w:proofErr w:type="gramEnd"/>
      <w:r w:rsidRPr="002344C0">
        <w:rPr>
          <w:rFonts w:asciiTheme="minorHAnsi" w:hAnsiTheme="minorHAnsi"/>
          <w:sz w:val="22"/>
          <w:szCs w:val="22"/>
        </w:rPr>
        <w:t xml:space="preserve"> it to the risk that its counterparties will not repay the deposit on maturity.  To minimise this risk, </w:t>
      </w:r>
      <w:r w:rsidR="00BA7DDD">
        <w:rPr>
          <w:rFonts w:asciiTheme="minorHAnsi" w:hAnsiTheme="minorHAnsi"/>
          <w:sz w:val="22"/>
          <w:szCs w:val="22"/>
        </w:rPr>
        <w:t xml:space="preserve">the </w:t>
      </w:r>
      <w:r w:rsidR="007C364D">
        <w:rPr>
          <w:rFonts w:asciiTheme="minorHAnsi" w:hAnsiTheme="minorHAnsi"/>
          <w:sz w:val="22"/>
          <w:szCs w:val="22"/>
        </w:rPr>
        <w:t xml:space="preserve">Epworth Cash Plus </w:t>
      </w:r>
      <w:r w:rsidR="00BA7DDD">
        <w:rPr>
          <w:rFonts w:asciiTheme="minorHAnsi" w:hAnsiTheme="minorHAnsi"/>
          <w:sz w:val="22"/>
          <w:szCs w:val="22"/>
        </w:rPr>
        <w:t xml:space="preserve">Fund only gives deposits to </w:t>
      </w:r>
      <w:r w:rsidRPr="002344C0">
        <w:rPr>
          <w:rFonts w:asciiTheme="minorHAnsi" w:hAnsiTheme="minorHAnsi"/>
          <w:sz w:val="22"/>
          <w:szCs w:val="22"/>
        </w:rPr>
        <w:t>banks and other institutions which meet rigorous criteria based on independent credit ratings and size, with a maximum average maturity date for the investments of no more than 180 days.  Risk is further minimised by limiting the proportion of the Fund deposited with any single bank or other institution.</w:t>
      </w:r>
    </w:p>
    <w:p w14:paraId="17906C0F" w14:textId="77777777" w:rsidR="00C46463" w:rsidRPr="00F01DB7" w:rsidRDefault="00C46463" w:rsidP="00C46463">
      <w:pPr>
        <w:pStyle w:val="BodyTextIndent2"/>
        <w:tabs>
          <w:tab w:val="clear" w:pos="7230"/>
        </w:tabs>
        <w:jc w:val="both"/>
        <w:rPr>
          <w:rFonts w:asciiTheme="minorHAnsi" w:hAnsiTheme="minorHAnsi"/>
          <w:sz w:val="22"/>
          <w:szCs w:val="22"/>
        </w:rPr>
      </w:pPr>
    </w:p>
    <w:p w14:paraId="1A8E3573" w14:textId="77777777" w:rsidR="00C46463" w:rsidRPr="003F10B0" w:rsidRDefault="00C46463" w:rsidP="002344C0">
      <w:pPr>
        <w:pStyle w:val="BodyTextIndent2"/>
        <w:tabs>
          <w:tab w:val="clear" w:pos="7230"/>
        </w:tabs>
        <w:ind w:left="0"/>
        <w:jc w:val="both"/>
        <w:rPr>
          <w:rFonts w:asciiTheme="minorHAnsi" w:hAnsiTheme="minorHAnsi"/>
          <w:i/>
          <w:sz w:val="22"/>
          <w:szCs w:val="22"/>
        </w:rPr>
      </w:pPr>
      <w:r w:rsidRPr="003F10B0">
        <w:rPr>
          <w:rFonts w:asciiTheme="minorHAnsi" w:hAnsiTheme="minorHAnsi"/>
          <w:i/>
          <w:sz w:val="22"/>
          <w:szCs w:val="22"/>
        </w:rPr>
        <w:t>Liquidity risk</w:t>
      </w:r>
    </w:p>
    <w:p w14:paraId="5CA53785" w14:textId="77777777" w:rsidR="00C46463" w:rsidRPr="00F01DB7" w:rsidRDefault="00C46463" w:rsidP="00C46463">
      <w:pPr>
        <w:pStyle w:val="BodyTextIndent2"/>
        <w:tabs>
          <w:tab w:val="clear" w:pos="7230"/>
        </w:tabs>
        <w:jc w:val="both"/>
        <w:rPr>
          <w:rFonts w:asciiTheme="minorHAnsi" w:hAnsiTheme="minorHAnsi"/>
          <w:b/>
          <w:sz w:val="22"/>
          <w:szCs w:val="22"/>
        </w:rPr>
      </w:pPr>
    </w:p>
    <w:p w14:paraId="494FD2BE" w14:textId="1DECC7B6" w:rsidR="00C46463" w:rsidRPr="00F01DB7" w:rsidRDefault="00C46463" w:rsidP="00C46463">
      <w:pPr>
        <w:pStyle w:val="BodyTextIndent2"/>
        <w:tabs>
          <w:tab w:val="clear" w:pos="7230"/>
        </w:tabs>
        <w:ind w:left="0"/>
        <w:jc w:val="both"/>
        <w:rPr>
          <w:rFonts w:asciiTheme="minorHAnsi" w:hAnsiTheme="minorHAnsi"/>
          <w:sz w:val="22"/>
          <w:szCs w:val="22"/>
        </w:rPr>
      </w:pPr>
      <w:proofErr w:type="gramStart"/>
      <w:r>
        <w:rPr>
          <w:rFonts w:asciiTheme="minorHAnsi" w:hAnsiTheme="minorHAnsi"/>
          <w:sz w:val="22"/>
          <w:szCs w:val="22"/>
        </w:rPr>
        <w:t>With the exception of</w:t>
      </w:r>
      <w:proofErr w:type="gramEnd"/>
      <w:r>
        <w:rPr>
          <w:rFonts w:asciiTheme="minorHAnsi" w:hAnsiTheme="minorHAnsi"/>
          <w:sz w:val="22"/>
          <w:szCs w:val="22"/>
        </w:rPr>
        <w:t xml:space="preserve"> </w:t>
      </w:r>
      <w:r w:rsidR="0088554E">
        <w:rPr>
          <w:rFonts w:asciiTheme="minorHAnsi" w:hAnsiTheme="minorHAnsi"/>
          <w:sz w:val="22"/>
          <w:szCs w:val="22"/>
        </w:rPr>
        <w:t>Property Income Trust for Charities and unlisted private equity commitments</w:t>
      </w:r>
      <w:r>
        <w:rPr>
          <w:rFonts w:asciiTheme="minorHAnsi" w:hAnsiTheme="minorHAnsi"/>
          <w:sz w:val="22"/>
          <w:szCs w:val="22"/>
        </w:rPr>
        <w:t>, t</w:t>
      </w:r>
      <w:r w:rsidRPr="00F01DB7">
        <w:rPr>
          <w:rFonts w:asciiTheme="minorHAnsi" w:hAnsiTheme="minorHAnsi"/>
          <w:sz w:val="22"/>
          <w:szCs w:val="22"/>
        </w:rPr>
        <w:t xml:space="preserve">he Funds’ assets comprise securities that can readily be realised to meet obligations that may arise on the redemption of units.  </w:t>
      </w:r>
    </w:p>
    <w:p w14:paraId="16548C4E" w14:textId="77777777" w:rsidR="00C46463" w:rsidRDefault="00C46463" w:rsidP="00C46463">
      <w:pPr>
        <w:pStyle w:val="BodyTextIndent2"/>
        <w:tabs>
          <w:tab w:val="clear" w:pos="7230"/>
        </w:tabs>
        <w:jc w:val="both"/>
        <w:rPr>
          <w:sz w:val="18"/>
        </w:rPr>
      </w:pPr>
    </w:p>
    <w:p w14:paraId="4497588A" w14:textId="0D5AAEC7" w:rsidR="002344C0" w:rsidRPr="00B866F6" w:rsidRDefault="002344C0" w:rsidP="002344C0">
      <w:pPr>
        <w:pStyle w:val="Epworth-Body3"/>
        <w:numPr>
          <w:ilvl w:val="0"/>
          <w:numId w:val="0"/>
        </w:numPr>
        <w:rPr>
          <w:rFonts w:ascii="Calibri" w:hAnsi="Calibri"/>
          <w:color w:val="000000" w:themeColor="text1"/>
          <w:sz w:val="22"/>
          <w:szCs w:val="22"/>
        </w:rPr>
      </w:pPr>
      <w:r w:rsidRPr="00B866F6">
        <w:rPr>
          <w:rFonts w:ascii="Calibri" w:hAnsi="Calibri"/>
          <w:color w:val="000000" w:themeColor="text1"/>
          <w:sz w:val="22"/>
          <w:szCs w:val="22"/>
        </w:rPr>
        <w:t xml:space="preserve">The </w:t>
      </w:r>
      <w:r w:rsidR="0088554E">
        <w:rPr>
          <w:rFonts w:ascii="Calibri" w:hAnsi="Calibri"/>
          <w:color w:val="000000" w:themeColor="text1"/>
          <w:sz w:val="22"/>
          <w:szCs w:val="22"/>
        </w:rPr>
        <w:t>chosen collective investment schemes</w:t>
      </w:r>
      <w:r w:rsidRPr="00B866F6">
        <w:rPr>
          <w:rFonts w:ascii="Calibri" w:hAnsi="Calibri"/>
          <w:color w:val="000000" w:themeColor="text1"/>
          <w:sz w:val="22"/>
          <w:szCs w:val="22"/>
        </w:rPr>
        <w:t xml:space="preserve"> may invest in the </w:t>
      </w:r>
      <w:r w:rsidR="00B866F6" w:rsidRPr="00B866F6">
        <w:rPr>
          <w:rFonts w:ascii="Calibri" w:hAnsi="Calibri"/>
          <w:color w:val="000000" w:themeColor="text1"/>
          <w:sz w:val="22"/>
          <w:szCs w:val="22"/>
        </w:rPr>
        <w:t>securities</w:t>
      </w:r>
      <w:r w:rsidRPr="00B866F6">
        <w:rPr>
          <w:rFonts w:ascii="Calibri" w:hAnsi="Calibri"/>
          <w:color w:val="000000" w:themeColor="text1"/>
          <w:sz w:val="22"/>
          <w:szCs w:val="22"/>
        </w:rPr>
        <w:t xml:space="preserve"> of </w:t>
      </w:r>
      <w:r w:rsidR="00B866F6" w:rsidRPr="00B866F6">
        <w:rPr>
          <w:rFonts w:ascii="Calibri" w:hAnsi="Calibri"/>
          <w:color w:val="000000" w:themeColor="text1"/>
          <w:sz w:val="22"/>
          <w:szCs w:val="22"/>
        </w:rPr>
        <w:t xml:space="preserve">companies </w:t>
      </w:r>
      <w:r w:rsidR="00B866F6">
        <w:rPr>
          <w:rFonts w:ascii="Calibri" w:hAnsi="Calibri"/>
          <w:color w:val="000000" w:themeColor="text1"/>
          <w:sz w:val="22"/>
          <w:szCs w:val="22"/>
        </w:rPr>
        <w:t xml:space="preserve">with a </w:t>
      </w:r>
      <w:proofErr w:type="gramStart"/>
      <w:r w:rsidR="00B866F6">
        <w:rPr>
          <w:rFonts w:ascii="Calibri" w:hAnsi="Calibri"/>
          <w:color w:val="000000" w:themeColor="text1"/>
          <w:sz w:val="22"/>
          <w:szCs w:val="22"/>
        </w:rPr>
        <w:t>relative</w:t>
      </w:r>
      <w:proofErr w:type="gramEnd"/>
      <w:r w:rsidR="00B866F6">
        <w:rPr>
          <w:rFonts w:ascii="Calibri" w:hAnsi="Calibri"/>
          <w:color w:val="000000" w:themeColor="text1"/>
          <w:sz w:val="22"/>
          <w:szCs w:val="22"/>
        </w:rPr>
        <w:t xml:space="preserve"> small</w:t>
      </w:r>
      <w:r w:rsidR="00B866F6" w:rsidRPr="00B866F6">
        <w:rPr>
          <w:rFonts w:ascii="Calibri" w:hAnsi="Calibri"/>
          <w:color w:val="000000" w:themeColor="text1"/>
          <w:sz w:val="22"/>
          <w:szCs w:val="22"/>
        </w:rPr>
        <w:t xml:space="preserve"> market capitalisation</w:t>
      </w:r>
      <w:r w:rsidRPr="00B866F6">
        <w:rPr>
          <w:rFonts w:ascii="Calibri" w:hAnsi="Calibri"/>
          <w:color w:val="000000" w:themeColor="text1"/>
          <w:sz w:val="22"/>
          <w:szCs w:val="22"/>
        </w:rPr>
        <w:t xml:space="preserve"> </w:t>
      </w:r>
      <w:r w:rsidR="00B866F6" w:rsidRPr="00B866F6">
        <w:rPr>
          <w:rFonts w:ascii="Calibri" w:hAnsi="Calibri"/>
          <w:color w:val="000000" w:themeColor="text1"/>
          <w:sz w:val="22"/>
          <w:szCs w:val="22"/>
        </w:rPr>
        <w:t>that are</w:t>
      </w:r>
      <w:r w:rsidRPr="00B866F6">
        <w:rPr>
          <w:rFonts w:ascii="Calibri" w:hAnsi="Calibri"/>
          <w:color w:val="000000" w:themeColor="text1"/>
          <w:sz w:val="22"/>
          <w:szCs w:val="22"/>
        </w:rPr>
        <w:t xml:space="preserve"> less liquid than the </w:t>
      </w:r>
      <w:r w:rsidR="00B866F6" w:rsidRPr="00B866F6">
        <w:rPr>
          <w:rFonts w:ascii="Calibri" w:hAnsi="Calibri"/>
          <w:color w:val="000000" w:themeColor="text1"/>
          <w:sz w:val="22"/>
          <w:szCs w:val="22"/>
        </w:rPr>
        <w:t xml:space="preserve">securities of larger companies. They </w:t>
      </w:r>
      <w:r w:rsidRPr="00B866F6">
        <w:rPr>
          <w:rFonts w:ascii="Calibri" w:hAnsi="Calibri"/>
          <w:color w:val="000000" w:themeColor="text1"/>
          <w:sz w:val="22"/>
          <w:szCs w:val="22"/>
        </w:rPr>
        <w:t xml:space="preserve">may </w:t>
      </w:r>
      <w:r w:rsidR="00B866F6" w:rsidRPr="00B866F6">
        <w:rPr>
          <w:rFonts w:ascii="Calibri" w:hAnsi="Calibri"/>
          <w:color w:val="000000" w:themeColor="text1"/>
          <w:sz w:val="22"/>
          <w:szCs w:val="22"/>
        </w:rPr>
        <w:t xml:space="preserve">also </w:t>
      </w:r>
      <w:r w:rsidRPr="00B866F6">
        <w:rPr>
          <w:rFonts w:ascii="Calibri" w:hAnsi="Calibri"/>
          <w:color w:val="000000" w:themeColor="text1"/>
          <w:sz w:val="22"/>
          <w:szCs w:val="22"/>
        </w:rPr>
        <w:t>be subject to more abrupt price movements than trading in the securities of larger companies.</w:t>
      </w:r>
    </w:p>
    <w:p w14:paraId="7D2C758E" w14:textId="439DD2A2" w:rsidR="00C46463" w:rsidRDefault="00C46463" w:rsidP="00C46463">
      <w:pPr>
        <w:pStyle w:val="BodyTextIndent2"/>
        <w:tabs>
          <w:tab w:val="clear" w:pos="7230"/>
          <w:tab w:val="decimal" w:pos="6750"/>
          <w:tab w:val="decimal" w:pos="8190"/>
        </w:tabs>
        <w:ind w:left="0"/>
        <w:jc w:val="both"/>
        <w:rPr>
          <w:rFonts w:asciiTheme="minorHAnsi" w:hAnsiTheme="minorHAnsi"/>
          <w:sz w:val="22"/>
          <w:szCs w:val="22"/>
        </w:rPr>
      </w:pPr>
      <w:r w:rsidRPr="00F01DB7">
        <w:rPr>
          <w:rFonts w:asciiTheme="minorHAnsi" w:hAnsiTheme="minorHAnsi"/>
          <w:sz w:val="22"/>
          <w:szCs w:val="22"/>
        </w:rPr>
        <w:t xml:space="preserve">To ensure that the Deposit Fund can meet obligations that may arise from depositors wishing to make withdrawals, the Manager of the </w:t>
      </w:r>
      <w:r w:rsidR="00831FA3">
        <w:rPr>
          <w:rFonts w:asciiTheme="minorHAnsi" w:hAnsiTheme="minorHAnsi"/>
          <w:sz w:val="22"/>
          <w:szCs w:val="22"/>
        </w:rPr>
        <w:t xml:space="preserve">Epworth Cash Plus </w:t>
      </w:r>
      <w:r w:rsidRPr="00F01DB7">
        <w:rPr>
          <w:rFonts w:asciiTheme="minorHAnsi" w:hAnsiTheme="minorHAnsi"/>
          <w:sz w:val="22"/>
          <w:szCs w:val="22"/>
        </w:rPr>
        <w:t xml:space="preserve">Fund </w:t>
      </w:r>
      <w:r w:rsidR="00831FA3">
        <w:rPr>
          <w:rFonts w:asciiTheme="minorHAnsi" w:hAnsiTheme="minorHAnsi"/>
          <w:sz w:val="22"/>
          <w:szCs w:val="22"/>
        </w:rPr>
        <w:t xml:space="preserve">for Charities </w:t>
      </w:r>
      <w:r w:rsidRPr="00F01DB7">
        <w:rPr>
          <w:rFonts w:asciiTheme="minorHAnsi" w:hAnsiTheme="minorHAnsi"/>
          <w:sz w:val="22"/>
          <w:szCs w:val="22"/>
        </w:rPr>
        <w:t xml:space="preserve">must </w:t>
      </w:r>
      <w:proofErr w:type="gramStart"/>
      <w:r w:rsidRPr="00F01DB7">
        <w:rPr>
          <w:rFonts w:asciiTheme="minorHAnsi" w:hAnsiTheme="minorHAnsi"/>
          <w:sz w:val="22"/>
          <w:szCs w:val="22"/>
        </w:rPr>
        <w:t>maintain at all times</w:t>
      </w:r>
      <w:proofErr w:type="gramEnd"/>
      <w:r w:rsidRPr="00F01DB7">
        <w:rPr>
          <w:rFonts w:asciiTheme="minorHAnsi" w:hAnsiTheme="minorHAnsi"/>
          <w:sz w:val="22"/>
          <w:szCs w:val="22"/>
        </w:rPr>
        <w:t xml:space="preserve"> a minimum of 10% of the Fund’s assets in investments realisable within 5 working days.  </w:t>
      </w:r>
    </w:p>
    <w:p w14:paraId="2DA6B71B" w14:textId="77777777" w:rsidR="00C46463" w:rsidRDefault="00C46463" w:rsidP="00C46463">
      <w:pPr>
        <w:pStyle w:val="BodyTextIndent2"/>
        <w:tabs>
          <w:tab w:val="clear" w:pos="7230"/>
          <w:tab w:val="decimal" w:pos="6750"/>
          <w:tab w:val="decimal" w:pos="8190"/>
        </w:tabs>
        <w:ind w:left="0"/>
        <w:jc w:val="both"/>
        <w:rPr>
          <w:rFonts w:asciiTheme="minorHAnsi" w:hAnsiTheme="minorHAnsi"/>
          <w:sz w:val="22"/>
          <w:szCs w:val="22"/>
        </w:rPr>
      </w:pPr>
    </w:p>
    <w:p w14:paraId="67D49726" w14:textId="77777777" w:rsidR="00C46463" w:rsidRPr="00F01DB7" w:rsidRDefault="00C46463" w:rsidP="00C46463">
      <w:pPr>
        <w:pStyle w:val="BodyTextIndent2"/>
        <w:tabs>
          <w:tab w:val="clear" w:pos="7230"/>
        </w:tabs>
        <w:ind w:left="0"/>
        <w:jc w:val="both"/>
        <w:rPr>
          <w:rFonts w:asciiTheme="minorHAnsi" w:hAnsiTheme="minorHAnsi"/>
          <w:b/>
          <w:sz w:val="22"/>
          <w:szCs w:val="22"/>
        </w:rPr>
      </w:pPr>
    </w:p>
    <w:p w14:paraId="34FDE9D6" w14:textId="77777777" w:rsidR="00471A2E" w:rsidRDefault="00471A2E" w:rsidP="002344C0">
      <w:pPr>
        <w:pStyle w:val="BodyTextIndent2"/>
        <w:tabs>
          <w:tab w:val="clear" w:pos="7230"/>
          <w:tab w:val="decimal" w:pos="6750"/>
          <w:tab w:val="decimal" w:pos="8190"/>
        </w:tabs>
        <w:ind w:left="0"/>
        <w:jc w:val="both"/>
        <w:rPr>
          <w:rFonts w:asciiTheme="minorHAnsi" w:hAnsiTheme="minorHAnsi"/>
          <w:i/>
          <w:sz w:val="22"/>
          <w:szCs w:val="22"/>
        </w:rPr>
      </w:pPr>
    </w:p>
    <w:p w14:paraId="61B771BB" w14:textId="07A73737" w:rsidR="00C46463" w:rsidRPr="003F10B0" w:rsidRDefault="00C46463" w:rsidP="002344C0">
      <w:pPr>
        <w:pStyle w:val="BodyTextIndent2"/>
        <w:tabs>
          <w:tab w:val="clear" w:pos="7230"/>
          <w:tab w:val="decimal" w:pos="6750"/>
          <w:tab w:val="decimal" w:pos="8190"/>
        </w:tabs>
        <w:ind w:left="0"/>
        <w:jc w:val="both"/>
        <w:rPr>
          <w:rFonts w:asciiTheme="minorHAnsi" w:hAnsiTheme="minorHAnsi"/>
          <w:i/>
          <w:sz w:val="22"/>
          <w:szCs w:val="22"/>
        </w:rPr>
      </w:pPr>
      <w:r w:rsidRPr="003F10B0">
        <w:rPr>
          <w:rFonts w:asciiTheme="minorHAnsi" w:hAnsiTheme="minorHAnsi"/>
          <w:i/>
          <w:sz w:val="22"/>
          <w:szCs w:val="22"/>
        </w:rPr>
        <w:lastRenderedPageBreak/>
        <w:t>Interest rate risk</w:t>
      </w:r>
    </w:p>
    <w:p w14:paraId="55930679" w14:textId="77777777" w:rsidR="00C46463" w:rsidRPr="00F01DB7" w:rsidRDefault="00C46463" w:rsidP="00C46463">
      <w:pPr>
        <w:pStyle w:val="BodyTextIndent2"/>
        <w:tabs>
          <w:tab w:val="clear" w:pos="7230"/>
          <w:tab w:val="decimal" w:pos="6750"/>
          <w:tab w:val="decimal" w:pos="8190"/>
        </w:tabs>
        <w:jc w:val="both"/>
        <w:rPr>
          <w:rFonts w:asciiTheme="minorHAnsi" w:hAnsiTheme="minorHAnsi"/>
          <w:b/>
          <w:sz w:val="22"/>
          <w:szCs w:val="22"/>
        </w:rPr>
      </w:pPr>
    </w:p>
    <w:p w14:paraId="046C2D3F" w14:textId="14AD94B2" w:rsidR="0087094F" w:rsidRDefault="00C46463" w:rsidP="00085A36">
      <w:pPr>
        <w:pStyle w:val="BodyTextIndent2"/>
        <w:tabs>
          <w:tab w:val="clear" w:pos="7230"/>
        </w:tabs>
        <w:ind w:left="0"/>
        <w:jc w:val="both"/>
        <w:rPr>
          <w:rFonts w:asciiTheme="minorHAnsi" w:hAnsiTheme="minorHAnsi"/>
          <w:sz w:val="22"/>
          <w:szCs w:val="22"/>
        </w:rPr>
      </w:pPr>
      <w:r w:rsidRPr="00F01DB7">
        <w:rPr>
          <w:rFonts w:asciiTheme="minorHAnsi" w:hAnsiTheme="minorHAnsi"/>
          <w:sz w:val="22"/>
          <w:szCs w:val="22"/>
        </w:rPr>
        <w:t xml:space="preserve">The </w:t>
      </w:r>
      <w:r w:rsidR="00471A2E">
        <w:rPr>
          <w:rFonts w:asciiTheme="minorHAnsi" w:hAnsiTheme="minorHAnsi"/>
          <w:sz w:val="22"/>
          <w:szCs w:val="22"/>
        </w:rPr>
        <w:t xml:space="preserve">CFB Managed Fixed Interest Fund and </w:t>
      </w:r>
      <w:r w:rsidRPr="00F01DB7">
        <w:rPr>
          <w:rFonts w:asciiTheme="minorHAnsi" w:hAnsiTheme="minorHAnsi"/>
          <w:sz w:val="22"/>
          <w:szCs w:val="22"/>
        </w:rPr>
        <w:t xml:space="preserve">the </w:t>
      </w:r>
      <w:r w:rsidR="00471A2E">
        <w:rPr>
          <w:rFonts w:asciiTheme="minorHAnsi" w:hAnsiTheme="minorHAnsi"/>
          <w:sz w:val="22"/>
          <w:szCs w:val="22"/>
        </w:rPr>
        <w:t>CFB</w:t>
      </w:r>
      <w:r w:rsidRPr="00F01DB7">
        <w:rPr>
          <w:rFonts w:asciiTheme="minorHAnsi" w:hAnsiTheme="minorHAnsi"/>
          <w:sz w:val="22"/>
          <w:szCs w:val="22"/>
        </w:rPr>
        <w:t xml:space="preserve"> Deposit Fund invests may invest in fixed rate and floating rate deposits</w:t>
      </w:r>
      <w:r w:rsidR="00471A2E">
        <w:rPr>
          <w:rFonts w:asciiTheme="minorHAnsi" w:hAnsiTheme="minorHAnsi"/>
          <w:sz w:val="22"/>
          <w:szCs w:val="22"/>
        </w:rPr>
        <w:t xml:space="preserve"> or funds that invest in these instruments</w:t>
      </w:r>
      <w:r w:rsidRPr="00F01DB7">
        <w:rPr>
          <w:rFonts w:asciiTheme="minorHAnsi" w:hAnsiTheme="minorHAnsi"/>
          <w:sz w:val="22"/>
          <w:szCs w:val="22"/>
        </w:rPr>
        <w:t xml:space="preserve">.  Changes in the interest rates may result in income either increasing or decreasing. The income may be affected by the manager being unable to secure similar returns following the disposal or redemption of securities. The value of fixed interest securities may be affected by interest rate movements or the expectation </w:t>
      </w:r>
      <w:r w:rsidR="00085A36">
        <w:rPr>
          <w:rFonts w:asciiTheme="minorHAnsi" w:hAnsiTheme="minorHAnsi"/>
          <w:sz w:val="22"/>
          <w:szCs w:val="22"/>
        </w:rPr>
        <w:t>of such movements in the future</w:t>
      </w:r>
      <w:r w:rsidR="00471A2E">
        <w:rPr>
          <w:rFonts w:asciiTheme="minorHAnsi" w:hAnsiTheme="minorHAnsi"/>
          <w:sz w:val="22"/>
          <w:szCs w:val="22"/>
        </w:rPr>
        <w:t>.</w:t>
      </w:r>
    </w:p>
    <w:p w14:paraId="451082D5" w14:textId="77777777" w:rsidR="00085A36" w:rsidRPr="00085A36" w:rsidRDefault="00085A36" w:rsidP="00085A36">
      <w:pPr>
        <w:pStyle w:val="BodyTextIndent2"/>
        <w:tabs>
          <w:tab w:val="clear" w:pos="7230"/>
        </w:tabs>
        <w:ind w:left="0"/>
        <w:jc w:val="both"/>
        <w:rPr>
          <w:rFonts w:asciiTheme="minorHAnsi" w:hAnsiTheme="minorHAnsi"/>
          <w:sz w:val="22"/>
          <w:szCs w:val="22"/>
        </w:rPr>
      </w:pPr>
    </w:p>
    <w:p w14:paraId="25780105" w14:textId="581F5A7B" w:rsidR="001C6AB5" w:rsidRDefault="001C6AB5" w:rsidP="001C6AB5">
      <w:pPr>
        <w:pStyle w:val="Epworth-Level2Title"/>
        <w:numPr>
          <w:ilvl w:val="0"/>
          <w:numId w:val="0"/>
        </w:numPr>
        <w:rPr>
          <w:rFonts w:asciiTheme="minorHAnsi" w:hAnsiTheme="minorHAnsi"/>
          <w:b w:val="0"/>
          <w:i/>
          <w:color w:val="000000" w:themeColor="text1"/>
          <w:sz w:val="22"/>
          <w:szCs w:val="22"/>
        </w:rPr>
      </w:pPr>
      <w:r w:rsidRPr="00B866F6">
        <w:rPr>
          <w:rFonts w:asciiTheme="minorHAnsi" w:hAnsiTheme="minorHAnsi"/>
          <w:b w:val="0"/>
          <w:i/>
          <w:color w:val="000000" w:themeColor="text1"/>
          <w:sz w:val="22"/>
          <w:szCs w:val="22"/>
        </w:rPr>
        <w:t>Inflation Risk</w:t>
      </w:r>
      <w:r w:rsidR="00471A2E">
        <w:rPr>
          <w:rFonts w:asciiTheme="minorHAnsi" w:hAnsiTheme="minorHAnsi"/>
          <w:b w:val="0"/>
          <w:i/>
          <w:color w:val="000000" w:themeColor="text1"/>
          <w:sz w:val="22"/>
          <w:szCs w:val="22"/>
        </w:rPr>
        <w:t xml:space="preserve"> </w:t>
      </w:r>
    </w:p>
    <w:p w14:paraId="07CBD5EA" w14:textId="77777777" w:rsidR="001C6AB5" w:rsidRPr="001C6AB5" w:rsidRDefault="001C6AB5" w:rsidP="001C6AB5">
      <w:pPr>
        <w:pStyle w:val="Epworth-Level2Title"/>
        <w:numPr>
          <w:ilvl w:val="0"/>
          <w:numId w:val="0"/>
        </w:numPr>
        <w:rPr>
          <w:rFonts w:asciiTheme="minorHAnsi" w:hAnsiTheme="minorHAnsi"/>
          <w:b w:val="0"/>
          <w:color w:val="000000" w:themeColor="text1"/>
          <w:sz w:val="22"/>
          <w:szCs w:val="22"/>
        </w:rPr>
      </w:pPr>
      <w:r w:rsidRPr="001C6AB5">
        <w:rPr>
          <w:rFonts w:asciiTheme="minorHAnsi" w:hAnsiTheme="minorHAnsi"/>
          <w:b w:val="0"/>
          <w:color w:val="000000" w:themeColor="text1"/>
          <w:sz w:val="22"/>
          <w:szCs w:val="22"/>
        </w:rPr>
        <w:t xml:space="preserve">Inflation will over time, reduce the value of investments in real terms. </w:t>
      </w:r>
    </w:p>
    <w:p w14:paraId="31DA3538" w14:textId="77777777" w:rsidR="00C46463" w:rsidRPr="003F10B0" w:rsidRDefault="00C46463" w:rsidP="00B866F6">
      <w:pPr>
        <w:pStyle w:val="BodyTextIndent2"/>
        <w:tabs>
          <w:tab w:val="clear" w:pos="7230"/>
        </w:tabs>
        <w:ind w:left="0"/>
        <w:jc w:val="both"/>
        <w:rPr>
          <w:rFonts w:asciiTheme="minorHAnsi" w:hAnsiTheme="minorHAnsi"/>
          <w:i/>
          <w:sz w:val="22"/>
          <w:szCs w:val="22"/>
        </w:rPr>
      </w:pPr>
      <w:r w:rsidRPr="003F10B0">
        <w:rPr>
          <w:rFonts w:asciiTheme="minorHAnsi" w:hAnsiTheme="minorHAnsi"/>
          <w:i/>
          <w:sz w:val="22"/>
          <w:szCs w:val="22"/>
        </w:rPr>
        <w:t>Currency risk</w:t>
      </w:r>
    </w:p>
    <w:p w14:paraId="1B387C90" w14:textId="77777777" w:rsidR="00C46463" w:rsidRPr="00F01DB7" w:rsidRDefault="00C46463" w:rsidP="00C46463">
      <w:pPr>
        <w:pStyle w:val="BodyTextIndent2"/>
        <w:tabs>
          <w:tab w:val="clear" w:pos="7230"/>
        </w:tabs>
        <w:jc w:val="both"/>
        <w:rPr>
          <w:rFonts w:asciiTheme="minorHAnsi" w:hAnsiTheme="minorHAnsi"/>
          <w:b/>
          <w:sz w:val="22"/>
          <w:szCs w:val="22"/>
        </w:rPr>
      </w:pPr>
    </w:p>
    <w:p w14:paraId="610F6445" w14:textId="3447663D" w:rsidR="00C46463" w:rsidRDefault="00082F65" w:rsidP="00C46463">
      <w:pPr>
        <w:pStyle w:val="BodyTextIndent2"/>
        <w:tabs>
          <w:tab w:val="clear" w:pos="7230"/>
        </w:tabs>
        <w:ind w:left="0"/>
        <w:jc w:val="both"/>
        <w:rPr>
          <w:rFonts w:asciiTheme="minorHAnsi" w:hAnsiTheme="minorHAnsi"/>
          <w:sz w:val="22"/>
          <w:szCs w:val="22"/>
        </w:rPr>
      </w:pPr>
      <w:r>
        <w:rPr>
          <w:rFonts w:asciiTheme="minorHAnsi" w:hAnsiTheme="minorHAnsi"/>
          <w:sz w:val="22"/>
          <w:szCs w:val="22"/>
        </w:rPr>
        <w:t>Certain assets</w:t>
      </w:r>
      <w:r w:rsidR="00C46463" w:rsidRPr="00F01DB7">
        <w:rPr>
          <w:rFonts w:asciiTheme="minorHAnsi" w:hAnsiTheme="minorHAnsi"/>
          <w:sz w:val="22"/>
          <w:szCs w:val="22"/>
        </w:rPr>
        <w:t xml:space="preserve"> may be exposed to currency risks </w:t>
      </w:r>
      <w:proofErr w:type="gramStart"/>
      <w:r>
        <w:rPr>
          <w:rFonts w:asciiTheme="minorHAnsi" w:hAnsiTheme="minorHAnsi"/>
          <w:sz w:val="22"/>
          <w:szCs w:val="22"/>
        </w:rPr>
        <w:t>where</w:t>
      </w:r>
      <w:proofErr w:type="gramEnd"/>
      <w:r w:rsidR="00C46463" w:rsidRPr="00F01DB7">
        <w:rPr>
          <w:rFonts w:asciiTheme="minorHAnsi" w:hAnsiTheme="minorHAnsi"/>
          <w:sz w:val="22"/>
          <w:szCs w:val="22"/>
        </w:rPr>
        <w:t xml:space="preserve"> denominated in currencies other than sterling.  The CFB does not </w:t>
      </w:r>
      <w:r w:rsidR="00D34EC6">
        <w:rPr>
          <w:rFonts w:asciiTheme="minorHAnsi" w:hAnsiTheme="minorHAnsi"/>
          <w:sz w:val="22"/>
          <w:szCs w:val="22"/>
        </w:rPr>
        <w:t xml:space="preserve">typically </w:t>
      </w:r>
      <w:r w:rsidR="00C46463" w:rsidRPr="00F01DB7">
        <w:rPr>
          <w:rFonts w:asciiTheme="minorHAnsi" w:hAnsiTheme="minorHAnsi"/>
          <w:sz w:val="22"/>
          <w:szCs w:val="22"/>
        </w:rPr>
        <w:t xml:space="preserve">seek to avoid this exposure since it believes that, in the </w:t>
      </w:r>
      <w:r w:rsidR="00D34EC6" w:rsidRPr="00F01DB7">
        <w:rPr>
          <w:rFonts w:asciiTheme="minorHAnsi" w:hAnsiTheme="minorHAnsi"/>
          <w:sz w:val="22"/>
          <w:szCs w:val="22"/>
        </w:rPr>
        <w:t>long-term</w:t>
      </w:r>
      <w:r w:rsidR="00D34EC6">
        <w:rPr>
          <w:rFonts w:asciiTheme="minorHAnsi" w:hAnsiTheme="minorHAnsi"/>
          <w:sz w:val="22"/>
          <w:szCs w:val="22"/>
        </w:rPr>
        <w:t>,</w:t>
      </w:r>
      <w:r w:rsidR="00C46463" w:rsidRPr="00F01DB7">
        <w:rPr>
          <w:rFonts w:asciiTheme="minorHAnsi" w:hAnsiTheme="minorHAnsi"/>
          <w:sz w:val="22"/>
          <w:szCs w:val="22"/>
        </w:rPr>
        <w:t xml:space="preserve"> hedging</w:t>
      </w:r>
      <w:r w:rsidR="00D34EC6">
        <w:rPr>
          <w:rFonts w:asciiTheme="minorHAnsi" w:hAnsiTheme="minorHAnsi"/>
          <w:sz w:val="22"/>
          <w:szCs w:val="22"/>
        </w:rPr>
        <w:t xml:space="preserve"> costs are</w:t>
      </w:r>
      <w:r w:rsidR="00C46463" w:rsidRPr="00F01DB7">
        <w:rPr>
          <w:rFonts w:asciiTheme="minorHAnsi" w:hAnsiTheme="minorHAnsi"/>
          <w:sz w:val="22"/>
          <w:szCs w:val="22"/>
        </w:rPr>
        <w:t xml:space="preserve"> detrimental to total return.</w:t>
      </w:r>
    </w:p>
    <w:p w14:paraId="2686A19B" w14:textId="77777777" w:rsidR="00C46463" w:rsidRDefault="00C46463" w:rsidP="00C46463">
      <w:pPr>
        <w:spacing w:after="0"/>
        <w:jc w:val="center"/>
        <w:rPr>
          <w:b/>
        </w:rPr>
      </w:pPr>
    </w:p>
    <w:p w14:paraId="15F2786D" w14:textId="77777777" w:rsidR="00BA7DDD" w:rsidRPr="00B866F6" w:rsidRDefault="00BA7DDD" w:rsidP="00BA7DDD">
      <w:pPr>
        <w:pStyle w:val="Epworth-Level2Title"/>
        <w:numPr>
          <w:ilvl w:val="0"/>
          <w:numId w:val="0"/>
        </w:numPr>
        <w:rPr>
          <w:rFonts w:asciiTheme="minorHAnsi" w:hAnsiTheme="minorHAnsi"/>
          <w:b w:val="0"/>
          <w:i/>
          <w:color w:val="000000" w:themeColor="text1"/>
          <w:sz w:val="22"/>
          <w:szCs w:val="22"/>
        </w:rPr>
      </w:pPr>
      <w:r w:rsidRPr="00B866F6">
        <w:rPr>
          <w:rFonts w:asciiTheme="minorHAnsi" w:hAnsiTheme="minorHAnsi"/>
          <w:b w:val="0"/>
          <w:i/>
          <w:color w:val="000000" w:themeColor="text1"/>
          <w:sz w:val="22"/>
          <w:szCs w:val="22"/>
        </w:rPr>
        <w:t>Sub investment grade bonds</w:t>
      </w:r>
      <w:bookmarkStart w:id="2" w:name="_NN37"/>
      <w:bookmarkEnd w:id="2"/>
    </w:p>
    <w:p w14:paraId="12029B28" w14:textId="19F578D9" w:rsidR="00BA7DDD" w:rsidRPr="00B866F6" w:rsidRDefault="00BA7DDD" w:rsidP="00B866F6">
      <w:pPr>
        <w:pStyle w:val="Epworth-Body3"/>
        <w:numPr>
          <w:ilvl w:val="0"/>
          <w:numId w:val="0"/>
        </w:numPr>
        <w:rPr>
          <w:rFonts w:asciiTheme="minorHAnsi" w:hAnsiTheme="minorHAnsi"/>
          <w:color w:val="000000" w:themeColor="text1"/>
          <w:sz w:val="22"/>
          <w:szCs w:val="22"/>
        </w:rPr>
      </w:pPr>
      <w:r>
        <w:rPr>
          <w:rFonts w:asciiTheme="minorHAnsi" w:hAnsiTheme="minorHAnsi"/>
          <w:color w:val="000000" w:themeColor="text1"/>
          <w:sz w:val="22"/>
          <w:szCs w:val="22"/>
        </w:rPr>
        <w:t>The</w:t>
      </w:r>
      <w:r w:rsidRPr="00BA7DDD">
        <w:rPr>
          <w:rFonts w:asciiTheme="minorHAnsi" w:hAnsiTheme="minorHAnsi"/>
          <w:color w:val="000000" w:themeColor="text1"/>
          <w:sz w:val="22"/>
          <w:szCs w:val="22"/>
        </w:rPr>
        <w:t xml:space="preserve"> </w:t>
      </w:r>
      <w:r w:rsidR="00D34EC6">
        <w:rPr>
          <w:rFonts w:asciiTheme="minorHAnsi" w:hAnsiTheme="minorHAnsi"/>
          <w:color w:val="000000" w:themeColor="text1"/>
          <w:sz w:val="22"/>
          <w:szCs w:val="22"/>
        </w:rPr>
        <w:t xml:space="preserve">collective investment schemes held by the </w:t>
      </w:r>
      <w:r>
        <w:rPr>
          <w:rFonts w:asciiTheme="minorHAnsi" w:hAnsiTheme="minorHAnsi"/>
          <w:color w:val="000000" w:themeColor="text1"/>
          <w:sz w:val="22"/>
          <w:szCs w:val="22"/>
        </w:rPr>
        <w:t xml:space="preserve">CFB </w:t>
      </w:r>
      <w:r w:rsidR="00471A2E">
        <w:rPr>
          <w:rFonts w:asciiTheme="minorHAnsi" w:hAnsiTheme="minorHAnsi"/>
          <w:color w:val="000000" w:themeColor="text1"/>
          <w:sz w:val="22"/>
          <w:szCs w:val="22"/>
        </w:rPr>
        <w:t>Managed Fixed Interest Fund</w:t>
      </w:r>
      <w:r>
        <w:rPr>
          <w:rFonts w:asciiTheme="minorHAnsi" w:hAnsiTheme="minorHAnsi"/>
          <w:color w:val="000000" w:themeColor="text1"/>
          <w:sz w:val="22"/>
          <w:szCs w:val="22"/>
        </w:rPr>
        <w:t xml:space="preserve"> </w:t>
      </w:r>
      <w:r w:rsidR="00471A2E">
        <w:rPr>
          <w:rFonts w:asciiTheme="minorHAnsi" w:hAnsiTheme="minorHAnsi"/>
          <w:color w:val="000000" w:themeColor="text1"/>
          <w:sz w:val="22"/>
          <w:szCs w:val="22"/>
        </w:rPr>
        <w:t xml:space="preserve">may </w:t>
      </w:r>
      <w:r>
        <w:rPr>
          <w:rFonts w:asciiTheme="minorHAnsi" w:hAnsiTheme="minorHAnsi"/>
          <w:color w:val="000000" w:themeColor="text1"/>
          <w:sz w:val="22"/>
          <w:szCs w:val="22"/>
        </w:rPr>
        <w:t>invest</w:t>
      </w:r>
      <w:r w:rsidR="00471A2E">
        <w:rPr>
          <w:rFonts w:asciiTheme="minorHAnsi" w:hAnsiTheme="minorHAnsi"/>
          <w:color w:val="000000" w:themeColor="text1"/>
          <w:sz w:val="22"/>
          <w:szCs w:val="22"/>
        </w:rPr>
        <w:t xml:space="preserve"> in </w:t>
      </w:r>
      <w:r>
        <w:rPr>
          <w:rFonts w:asciiTheme="minorHAnsi" w:hAnsiTheme="minorHAnsi"/>
          <w:color w:val="000000" w:themeColor="text1"/>
          <w:sz w:val="22"/>
          <w:szCs w:val="22"/>
        </w:rPr>
        <w:t>sub-</w:t>
      </w:r>
      <w:r w:rsidRPr="00B866F6">
        <w:rPr>
          <w:rFonts w:asciiTheme="minorHAnsi" w:hAnsiTheme="minorHAnsi"/>
          <w:color w:val="000000" w:themeColor="text1"/>
          <w:sz w:val="22"/>
          <w:szCs w:val="22"/>
        </w:rPr>
        <w:t xml:space="preserve">investment grade bonds. These bonds have a lower credit </w:t>
      </w:r>
      <w:r>
        <w:rPr>
          <w:rFonts w:asciiTheme="minorHAnsi" w:hAnsiTheme="minorHAnsi"/>
          <w:color w:val="000000" w:themeColor="text1"/>
          <w:sz w:val="22"/>
          <w:szCs w:val="22"/>
        </w:rPr>
        <w:t xml:space="preserve">rating than </w:t>
      </w:r>
      <w:r w:rsidRPr="00B866F6">
        <w:rPr>
          <w:rFonts w:asciiTheme="minorHAnsi" w:hAnsiTheme="minorHAnsi"/>
          <w:color w:val="000000" w:themeColor="text1"/>
          <w:sz w:val="22"/>
          <w:szCs w:val="22"/>
        </w:rPr>
        <w:t>investment grade bonds</w:t>
      </w:r>
      <w:r>
        <w:rPr>
          <w:rFonts w:asciiTheme="minorHAnsi" w:hAnsiTheme="minorHAnsi"/>
          <w:color w:val="000000" w:themeColor="text1"/>
          <w:sz w:val="22"/>
          <w:szCs w:val="22"/>
        </w:rPr>
        <w:t xml:space="preserve"> and carry </w:t>
      </w:r>
      <w:r w:rsidRPr="00B866F6">
        <w:rPr>
          <w:rFonts w:asciiTheme="minorHAnsi" w:hAnsiTheme="minorHAnsi"/>
          <w:color w:val="000000" w:themeColor="text1"/>
          <w:sz w:val="22"/>
          <w:szCs w:val="22"/>
        </w:rPr>
        <w:t>a higher degree of risk.</w:t>
      </w:r>
    </w:p>
    <w:p w14:paraId="090711CB" w14:textId="77777777" w:rsidR="000F0919" w:rsidRPr="00B866F6" w:rsidRDefault="000F0919" w:rsidP="00B866F6">
      <w:pPr>
        <w:pStyle w:val="Epworth-Level2Title"/>
        <w:numPr>
          <w:ilvl w:val="0"/>
          <w:numId w:val="0"/>
        </w:numPr>
        <w:rPr>
          <w:rFonts w:asciiTheme="minorHAnsi" w:hAnsiTheme="minorHAnsi"/>
          <w:b w:val="0"/>
          <w:i/>
          <w:color w:val="000000" w:themeColor="text1"/>
          <w:sz w:val="22"/>
          <w:szCs w:val="22"/>
        </w:rPr>
      </w:pPr>
      <w:r w:rsidRPr="00B866F6">
        <w:rPr>
          <w:rFonts w:asciiTheme="minorHAnsi" w:hAnsiTheme="minorHAnsi"/>
          <w:b w:val="0"/>
          <w:i/>
          <w:color w:val="000000" w:themeColor="text1"/>
          <w:sz w:val="22"/>
          <w:szCs w:val="22"/>
        </w:rPr>
        <w:t>Investing in other collective investment schemes</w:t>
      </w:r>
      <w:bookmarkStart w:id="3" w:name="_NN45"/>
      <w:bookmarkEnd w:id="3"/>
      <w:r w:rsidR="00BA7DDD">
        <w:rPr>
          <w:rFonts w:asciiTheme="minorHAnsi" w:hAnsiTheme="minorHAnsi"/>
          <w:b w:val="0"/>
          <w:i/>
          <w:color w:val="000000" w:themeColor="text1"/>
          <w:sz w:val="22"/>
          <w:szCs w:val="22"/>
        </w:rPr>
        <w:t xml:space="preserve"> – third party charges</w:t>
      </w:r>
    </w:p>
    <w:p w14:paraId="6F425E6D" w14:textId="7929EDE7" w:rsidR="000F0919" w:rsidRPr="001C6AB5" w:rsidRDefault="00BA7DDD" w:rsidP="001C6AB5">
      <w:pPr>
        <w:pStyle w:val="Body"/>
        <w:rPr>
          <w:rFonts w:ascii="Calibri" w:hAnsi="Calibri"/>
          <w:sz w:val="22"/>
          <w:szCs w:val="22"/>
        </w:rPr>
      </w:pPr>
      <w:r>
        <w:rPr>
          <w:rFonts w:ascii="Calibri" w:hAnsi="Calibri"/>
          <w:sz w:val="22"/>
          <w:szCs w:val="22"/>
        </w:rPr>
        <w:t>Each F</w:t>
      </w:r>
      <w:r w:rsidR="000F0919" w:rsidRPr="001C6AB5">
        <w:rPr>
          <w:rFonts w:ascii="Calibri" w:hAnsi="Calibri"/>
          <w:sz w:val="22"/>
          <w:szCs w:val="22"/>
        </w:rPr>
        <w:t>und invest</w:t>
      </w:r>
      <w:r w:rsidR="00D34EC6">
        <w:rPr>
          <w:rFonts w:ascii="Calibri" w:hAnsi="Calibri"/>
          <w:sz w:val="22"/>
          <w:szCs w:val="22"/>
        </w:rPr>
        <w:t>s</w:t>
      </w:r>
      <w:r w:rsidR="000F0919" w:rsidRPr="001C6AB5">
        <w:rPr>
          <w:rFonts w:ascii="Calibri" w:hAnsi="Calibri"/>
          <w:sz w:val="22"/>
          <w:szCs w:val="22"/>
        </w:rPr>
        <w:t xml:space="preserve"> in other regulated collective investment schemes.  As an </w:t>
      </w:r>
      <w:r w:rsidRPr="001C6AB5">
        <w:rPr>
          <w:rFonts w:ascii="Calibri" w:hAnsi="Calibri"/>
          <w:sz w:val="22"/>
          <w:szCs w:val="22"/>
        </w:rPr>
        <w:t>investor of</w:t>
      </w:r>
      <w:r w:rsidR="000F0919" w:rsidRPr="001C6AB5">
        <w:rPr>
          <w:rFonts w:ascii="Calibri" w:hAnsi="Calibri"/>
          <w:sz w:val="22"/>
          <w:szCs w:val="22"/>
        </w:rPr>
        <w:t xml:space="preserve"> another colle</w:t>
      </w:r>
      <w:r>
        <w:rPr>
          <w:rFonts w:ascii="Calibri" w:hAnsi="Calibri"/>
          <w:sz w:val="22"/>
          <w:szCs w:val="22"/>
        </w:rPr>
        <w:t>ctive investment scheme, a F</w:t>
      </w:r>
      <w:r w:rsidR="000F0919" w:rsidRPr="001C6AB5">
        <w:rPr>
          <w:rFonts w:ascii="Calibri" w:hAnsi="Calibri"/>
          <w:sz w:val="22"/>
          <w:szCs w:val="22"/>
        </w:rPr>
        <w:t xml:space="preserve">und will bear, along with the other investors, its portion of the expenses of the other collective investment scheme, including management, performance and/or other fees. These fees will be in addition to the management fees and other expenses which a Sub-fund bears directly with its own operations. </w:t>
      </w:r>
    </w:p>
    <w:p w14:paraId="602D78F3" w14:textId="77777777" w:rsidR="000F0919" w:rsidRPr="001C6AB5" w:rsidRDefault="000F0919" w:rsidP="00B866F6">
      <w:pPr>
        <w:pStyle w:val="Epworth-Level2Title"/>
        <w:numPr>
          <w:ilvl w:val="0"/>
          <w:numId w:val="0"/>
        </w:numPr>
        <w:rPr>
          <w:rFonts w:asciiTheme="minorHAnsi" w:hAnsiTheme="minorHAnsi"/>
          <w:b w:val="0"/>
          <w:i/>
          <w:color w:val="000000" w:themeColor="text1"/>
          <w:sz w:val="22"/>
          <w:szCs w:val="22"/>
        </w:rPr>
      </w:pPr>
      <w:r w:rsidRPr="001C6AB5">
        <w:rPr>
          <w:rFonts w:asciiTheme="minorHAnsi" w:hAnsiTheme="minorHAnsi"/>
          <w:b w:val="0"/>
          <w:i/>
          <w:color w:val="000000" w:themeColor="text1"/>
          <w:sz w:val="22"/>
          <w:szCs w:val="22"/>
        </w:rPr>
        <w:t>Exchange Traded Sub-funds (“ETFs”)</w:t>
      </w:r>
      <w:bookmarkStart w:id="4" w:name="_NN46"/>
      <w:bookmarkEnd w:id="4"/>
    </w:p>
    <w:p w14:paraId="4B85FE22" w14:textId="1BD35E64" w:rsidR="000F0919" w:rsidRDefault="000F0919" w:rsidP="001C6AB5">
      <w:pPr>
        <w:pStyle w:val="Body"/>
        <w:rPr>
          <w:rFonts w:asciiTheme="minorHAnsi" w:hAnsiTheme="minorHAnsi"/>
          <w:sz w:val="22"/>
          <w:szCs w:val="22"/>
        </w:rPr>
      </w:pPr>
      <w:r w:rsidRPr="001C6AB5">
        <w:rPr>
          <w:rFonts w:asciiTheme="minorHAnsi" w:hAnsiTheme="minorHAnsi"/>
          <w:sz w:val="22"/>
          <w:szCs w:val="22"/>
        </w:rPr>
        <w:t xml:space="preserve">The </w:t>
      </w:r>
      <w:r w:rsidR="00D34EC6">
        <w:rPr>
          <w:rFonts w:asciiTheme="minorHAnsi" w:hAnsiTheme="minorHAnsi"/>
          <w:sz w:val="22"/>
          <w:szCs w:val="22"/>
        </w:rPr>
        <w:t>f</w:t>
      </w:r>
      <w:r w:rsidR="001C6AB5" w:rsidRPr="001C6AB5">
        <w:rPr>
          <w:rFonts w:asciiTheme="minorHAnsi" w:hAnsiTheme="minorHAnsi"/>
          <w:sz w:val="22"/>
          <w:szCs w:val="22"/>
        </w:rPr>
        <w:t>unds</w:t>
      </w:r>
      <w:r w:rsidRPr="001C6AB5">
        <w:rPr>
          <w:rFonts w:asciiTheme="minorHAnsi" w:hAnsiTheme="minorHAnsi"/>
          <w:sz w:val="22"/>
          <w:szCs w:val="22"/>
        </w:rPr>
        <w:t xml:space="preserve"> may invest in exchange traded sub-funds. Exchange traded sub-funds represent a basket of securities that are traded on an exchange and may not necessarily trade at the net asset value of their underlying holdings. As a result, they may trade at a price that is above or below the value of the underlying portfolio.</w:t>
      </w:r>
    </w:p>
    <w:p w14:paraId="6E7341DB" w14:textId="77777777" w:rsidR="004F7339" w:rsidRPr="004F7339" w:rsidRDefault="004F7339" w:rsidP="004F7339">
      <w:pPr>
        <w:pStyle w:val="Body"/>
        <w:rPr>
          <w:rFonts w:asciiTheme="minorHAnsi" w:hAnsiTheme="minorHAnsi"/>
          <w:i/>
          <w:sz w:val="22"/>
          <w:szCs w:val="22"/>
        </w:rPr>
      </w:pPr>
      <w:r w:rsidRPr="004F7339">
        <w:rPr>
          <w:rFonts w:asciiTheme="minorHAnsi" w:hAnsiTheme="minorHAnsi"/>
          <w:i/>
          <w:sz w:val="22"/>
          <w:szCs w:val="22"/>
        </w:rPr>
        <w:t>Suspension of dealings in Units</w:t>
      </w:r>
      <w:bookmarkStart w:id="5" w:name="_NN30"/>
      <w:bookmarkEnd w:id="5"/>
      <w:r>
        <w:rPr>
          <w:rFonts w:asciiTheme="minorHAnsi" w:hAnsiTheme="minorHAnsi"/>
          <w:i/>
          <w:sz w:val="22"/>
          <w:szCs w:val="22"/>
        </w:rPr>
        <w:t xml:space="preserve"> and in specie transfers</w:t>
      </w:r>
    </w:p>
    <w:p w14:paraId="56B250CA" w14:textId="19F13A42" w:rsidR="004F7339" w:rsidRPr="004F7339" w:rsidRDefault="004F7339" w:rsidP="001C6AB5">
      <w:pPr>
        <w:pStyle w:val="Body"/>
        <w:rPr>
          <w:rFonts w:asciiTheme="minorHAnsi" w:hAnsiTheme="minorHAnsi"/>
          <w:sz w:val="22"/>
          <w:szCs w:val="22"/>
        </w:rPr>
      </w:pPr>
      <w:r w:rsidRPr="004F7339">
        <w:rPr>
          <w:rFonts w:asciiTheme="minorHAnsi" w:hAnsiTheme="minorHAnsi"/>
          <w:sz w:val="22"/>
          <w:szCs w:val="22"/>
        </w:rPr>
        <w:t xml:space="preserve">Investors are reminded that in certain circumstances their right to sell </w:t>
      </w:r>
      <w:r w:rsidR="00831FA3">
        <w:rPr>
          <w:rFonts w:asciiTheme="minorHAnsi" w:hAnsiTheme="minorHAnsi"/>
          <w:sz w:val="22"/>
          <w:szCs w:val="22"/>
        </w:rPr>
        <w:t>u</w:t>
      </w:r>
      <w:r w:rsidRPr="004F7339">
        <w:rPr>
          <w:rFonts w:asciiTheme="minorHAnsi" w:hAnsiTheme="minorHAnsi"/>
          <w:sz w:val="22"/>
          <w:szCs w:val="22"/>
        </w:rPr>
        <w:t xml:space="preserve">nits </w:t>
      </w:r>
      <w:r>
        <w:rPr>
          <w:rFonts w:asciiTheme="minorHAnsi" w:hAnsiTheme="minorHAnsi"/>
          <w:sz w:val="22"/>
          <w:szCs w:val="22"/>
        </w:rPr>
        <w:t xml:space="preserve">may be suspended or, upon a substantial redemption instruction, an </w:t>
      </w:r>
      <w:proofErr w:type="gramStart"/>
      <w:r>
        <w:rPr>
          <w:rFonts w:asciiTheme="minorHAnsi" w:hAnsiTheme="minorHAnsi"/>
          <w:sz w:val="22"/>
          <w:szCs w:val="22"/>
        </w:rPr>
        <w:t>in specie</w:t>
      </w:r>
      <w:proofErr w:type="gramEnd"/>
      <w:r>
        <w:rPr>
          <w:rFonts w:asciiTheme="minorHAnsi" w:hAnsiTheme="minorHAnsi"/>
          <w:sz w:val="22"/>
          <w:szCs w:val="22"/>
        </w:rPr>
        <w:t xml:space="preserve"> transfer may be made to them.</w:t>
      </w:r>
    </w:p>
    <w:p w14:paraId="11D23452" w14:textId="77777777" w:rsidR="004F7339" w:rsidRDefault="0087094F" w:rsidP="001C6AB5">
      <w:pPr>
        <w:pStyle w:val="Body"/>
        <w:rPr>
          <w:rFonts w:asciiTheme="minorHAnsi" w:hAnsiTheme="minorHAnsi"/>
          <w:i/>
          <w:sz w:val="22"/>
          <w:szCs w:val="22"/>
        </w:rPr>
      </w:pPr>
      <w:r w:rsidRPr="0087094F">
        <w:rPr>
          <w:rFonts w:asciiTheme="minorHAnsi" w:hAnsiTheme="minorHAnsi"/>
          <w:i/>
          <w:sz w:val="22"/>
          <w:szCs w:val="22"/>
        </w:rPr>
        <w:t>Risk of contagion</w:t>
      </w:r>
    </w:p>
    <w:p w14:paraId="482DE696" w14:textId="46912201" w:rsidR="0087094F" w:rsidRPr="0087094F" w:rsidRDefault="0087094F" w:rsidP="001C6AB5">
      <w:pPr>
        <w:pStyle w:val="Body"/>
        <w:rPr>
          <w:rFonts w:asciiTheme="minorHAnsi" w:hAnsiTheme="minorHAnsi"/>
          <w:i/>
          <w:sz w:val="22"/>
          <w:szCs w:val="22"/>
        </w:rPr>
      </w:pPr>
      <w:r>
        <w:rPr>
          <w:rFonts w:asciiTheme="minorHAnsi" w:hAnsiTheme="minorHAnsi"/>
          <w:sz w:val="22"/>
          <w:szCs w:val="22"/>
        </w:rPr>
        <w:t>The CFB Funds are not separate legal entities. Therefore</w:t>
      </w:r>
      <w:r w:rsidR="00831FA3">
        <w:rPr>
          <w:rFonts w:asciiTheme="minorHAnsi" w:hAnsiTheme="minorHAnsi"/>
          <w:sz w:val="22"/>
          <w:szCs w:val="22"/>
        </w:rPr>
        <w:t>,</w:t>
      </w:r>
      <w:r>
        <w:rPr>
          <w:rFonts w:asciiTheme="minorHAnsi" w:hAnsiTheme="minorHAnsi"/>
          <w:sz w:val="22"/>
          <w:szCs w:val="22"/>
        </w:rPr>
        <w:t xml:space="preserve"> all unitholders in all Funds are potentially </w:t>
      </w:r>
      <w:r w:rsidR="00085A36">
        <w:rPr>
          <w:rFonts w:asciiTheme="minorHAnsi" w:hAnsiTheme="minorHAnsi"/>
          <w:sz w:val="22"/>
          <w:szCs w:val="22"/>
        </w:rPr>
        <w:t xml:space="preserve">responsible </w:t>
      </w:r>
      <w:r>
        <w:rPr>
          <w:rFonts w:asciiTheme="minorHAnsi" w:hAnsiTheme="minorHAnsi"/>
          <w:sz w:val="22"/>
          <w:szCs w:val="22"/>
        </w:rPr>
        <w:t xml:space="preserve">for liabilities arising in the CFB Funds. The CFB will not use any investment instruments or undertake any activity that could cause a Fund to have a negative asset value. </w:t>
      </w:r>
      <w:r w:rsidR="00085A36">
        <w:rPr>
          <w:rFonts w:asciiTheme="minorHAnsi" w:hAnsiTheme="minorHAnsi"/>
          <w:sz w:val="22"/>
          <w:szCs w:val="22"/>
        </w:rPr>
        <w:t>Further, t</w:t>
      </w:r>
      <w:r>
        <w:rPr>
          <w:rFonts w:asciiTheme="minorHAnsi" w:hAnsiTheme="minorHAnsi"/>
          <w:sz w:val="22"/>
          <w:szCs w:val="22"/>
        </w:rPr>
        <w:t xml:space="preserve">he CFB does not have any right of recourse to </w:t>
      </w:r>
      <w:proofErr w:type="gramStart"/>
      <w:r>
        <w:rPr>
          <w:rFonts w:asciiTheme="minorHAnsi" w:hAnsiTheme="minorHAnsi"/>
          <w:sz w:val="22"/>
          <w:szCs w:val="22"/>
        </w:rPr>
        <w:t>unit-holders</w:t>
      </w:r>
      <w:proofErr w:type="gramEnd"/>
      <w:r>
        <w:rPr>
          <w:rFonts w:asciiTheme="minorHAnsi" w:hAnsiTheme="minorHAnsi"/>
          <w:sz w:val="22"/>
          <w:szCs w:val="22"/>
        </w:rPr>
        <w:t xml:space="preserve"> in the Funds for additional investment</w:t>
      </w:r>
      <w:r w:rsidR="00085A36">
        <w:rPr>
          <w:rFonts w:asciiTheme="minorHAnsi" w:hAnsiTheme="minorHAnsi"/>
          <w:sz w:val="22"/>
          <w:szCs w:val="22"/>
        </w:rPr>
        <w:t>. However,</w:t>
      </w:r>
      <w:r>
        <w:rPr>
          <w:rFonts w:asciiTheme="minorHAnsi" w:hAnsiTheme="minorHAnsi"/>
          <w:sz w:val="22"/>
          <w:szCs w:val="22"/>
        </w:rPr>
        <w:t xml:space="preserve"> </w:t>
      </w:r>
      <w:proofErr w:type="gramStart"/>
      <w:r>
        <w:rPr>
          <w:rFonts w:asciiTheme="minorHAnsi" w:hAnsiTheme="minorHAnsi"/>
          <w:sz w:val="22"/>
          <w:szCs w:val="22"/>
        </w:rPr>
        <w:t>unit-</w:t>
      </w:r>
      <w:r>
        <w:rPr>
          <w:rFonts w:asciiTheme="minorHAnsi" w:hAnsiTheme="minorHAnsi"/>
          <w:sz w:val="22"/>
          <w:szCs w:val="22"/>
        </w:rPr>
        <w:lastRenderedPageBreak/>
        <w:t>holders</w:t>
      </w:r>
      <w:proofErr w:type="gramEnd"/>
      <w:r>
        <w:rPr>
          <w:rFonts w:asciiTheme="minorHAnsi" w:hAnsiTheme="minorHAnsi"/>
          <w:sz w:val="22"/>
          <w:szCs w:val="22"/>
        </w:rPr>
        <w:t xml:space="preserve"> should be aware that the value of the units in the Funds in which they invest could be detrimentally impacted by </w:t>
      </w:r>
      <w:r w:rsidR="00085A36">
        <w:rPr>
          <w:rFonts w:asciiTheme="minorHAnsi" w:hAnsiTheme="minorHAnsi"/>
          <w:sz w:val="22"/>
          <w:szCs w:val="22"/>
        </w:rPr>
        <w:t>a negative net asset value in another Fund.</w:t>
      </w:r>
    </w:p>
    <w:sectPr w:rsidR="0087094F" w:rsidRPr="0087094F">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5541" w14:textId="77777777" w:rsidR="003F6E1E" w:rsidRDefault="003F6E1E" w:rsidP="008A11DF">
      <w:pPr>
        <w:spacing w:after="0" w:line="240" w:lineRule="auto"/>
      </w:pPr>
      <w:r>
        <w:separator/>
      </w:r>
    </w:p>
  </w:endnote>
  <w:endnote w:type="continuationSeparator" w:id="0">
    <w:p w14:paraId="1350E8D7" w14:textId="77777777" w:rsidR="003F6E1E" w:rsidRDefault="003F6E1E" w:rsidP="008A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813758"/>
      <w:docPartObj>
        <w:docPartGallery w:val="Page Numbers (Bottom of Page)"/>
        <w:docPartUnique/>
      </w:docPartObj>
    </w:sdtPr>
    <w:sdtEndPr>
      <w:rPr>
        <w:noProof/>
      </w:rPr>
    </w:sdtEndPr>
    <w:sdtContent>
      <w:p w14:paraId="612768A2" w14:textId="77777777" w:rsidR="00B722F9" w:rsidRDefault="00B722F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FE5EB2A" w14:textId="77777777" w:rsidR="00B722F9" w:rsidRDefault="00B72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18A9" w14:textId="77777777" w:rsidR="003F6E1E" w:rsidRDefault="003F6E1E" w:rsidP="008A11DF">
      <w:pPr>
        <w:spacing w:after="0" w:line="240" w:lineRule="auto"/>
      </w:pPr>
      <w:r>
        <w:separator/>
      </w:r>
    </w:p>
  </w:footnote>
  <w:footnote w:type="continuationSeparator" w:id="0">
    <w:p w14:paraId="6F1F8F78" w14:textId="77777777" w:rsidR="003F6E1E" w:rsidRDefault="003F6E1E" w:rsidP="008A1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779"/>
    <w:multiLevelType w:val="hybridMultilevel"/>
    <w:tmpl w:val="C02AB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C6B25"/>
    <w:multiLevelType w:val="hybridMultilevel"/>
    <w:tmpl w:val="6A0E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E4A88"/>
    <w:multiLevelType w:val="hybridMultilevel"/>
    <w:tmpl w:val="2C1A4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E7908"/>
    <w:multiLevelType w:val="hybridMultilevel"/>
    <w:tmpl w:val="D376F5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94224"/>
    <w:multiLevelType w:val="hybridMultilevel"/>
    <w:tmpl w:val="47BC8F1A"/>
    <w:lvl w:ilvl="0" w:tplc="B6DCAD1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3004E"/>
    <w:multiLevelType w:val="hybridMultilevel"/>
    <w:tmpl w:val="C08E8694"/>
    <w:lvl w:ilvl="0" w:tplc="79289530">
      <w:numFmt w:val="bullet"/>
      <w:lvlText w:val="-"/>
      <w:lvlJc w:val="left"/>
      <w:pPr>
        <w:ind w:left="405" w:hanging="360"/>
      </w:pPr>
      <w:rPr>
        <w:rFonts w:ascii="Calibri" w:eastAsia="Times New Roman"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26F248A8"/>
    <w:multiLevelType w:val="hybridMultilevel"/>
    <w:tmpl w:val="B9B4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2228E"/>
    <w:multiLevelType w:val="hybridMultilevel"/>
    <w:tmpl w:val="93083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616DB"/>
    <w:multiLevelType w:val="multilevel"/>
    <w:tmpl w:val="5AB8A524"/>
    <w:lvl w:ilvl="0">
      <w:start w:val="1"/>
      <w:numFmt w:val="decimal"/>
      <w:pStyle w:val="Epworth-SectionHeaderNumbered"/>
      <w:lvlText w:val="%1."/>
      <w:lvlJc w:val="left"/>
      <w:pPr>
        <w:ind w:left="360" w:hanging="360"/>
      </w:pPr>
      <w:rPr>
        <w:rFonts w:hint="default"/>
      </w:rPr>
    </w:lvl>
    <w:lvl w:ilvl="1">
      <w:start w:val="1"/>
      <w:numFmt w:val="decimal"/>
      <w:pStyle w:val="Epworth-Level1"/>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Epworth-Level2"/>
      <w:lvlText w:val="(%3)"/>
      <w:lvlJc w:val="left"/>
      <w:pPr>
        <w:ind w:left="1080" w:hanging="360"/>
      </w:pPr>
      <w:rPr>
        <w:rFonts w:hint="default"/>
      </w:rPr>
    </w:lvl>
    <w:lvl w:ilvl="3">
      <w:start w:val="1"/>
      <w:numFmt w:val="lowerRoman"/>
      <w:pStyle w:val="Epworth-Level3"/>
      <w:lvlText w:val="(%4)"/>
      <w:lvlJc w:val="left"/>
      <w:pPr>
        <w:ind w:left="1440" w:hanging="360"/>
      </w:pPr>
      <w:rPr>
        <w:rFonts w:hint="default"/>
      </w:rPr>
    </w:lvl>
    <w:lvl w:ilvl="4">
      <w:start w:val="1"/>
      <w:numFmt w:val="bullet"/>
      <w:pStyle w:val="Epworth-Level4"/>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EA1867"/>
    <w:multiLevelType w:val="hybridMultilevel"/>
    <w:tmpl w:val="B3F2BFE4"/>
    <w:lvl w:ilvl="0" w:tplc="19F400FC">
      <w:start w:val="1"/>
      <w:numFmt w:val="decimal"/>
      <w:lvlText w:val="%1."/>
      <w:lvlJc w:val="left"/>
      <w:pPr>
        <w:ind w:left="786" w:hanging="360"/>
      </w:pPr>
      <w:rPr>
        <w:rFonts w:hint="default"/>
        <w:b/>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9031D5"/>
    <w:multiLevelType w:val="hybridMultilevel"/>
    <w:tmpl w:val="1066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03AAA"/>
    <w:multiLevelType w:val="hybridMultilevel"/>
    <w:tmpl w:val="0B7CFB1C"/>
    <w:lvl w:ilvl="0" w:tplc="19F400FC">
      <w:start w:val="1"/>
      <w:numFmt w:val="decimal"/>
      <w:lvlText w:val="%1."/>
      <w:lvlJc w:val="left"/>
      <w:pPr>
        <w:ind w:left="786" w:hanging="360"/>
      </w:pPr>
      <w:rPr>
        <w:rFonts w:hint="default"/>
        <w:b/>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C4827"/>
    <w:multiLevelType w:val="hybridMultilevel"/>
    <w:tmpl w:val="863E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1C39"/>
    <w:multiLevelType w:val="multilevel"/>
    <w:tmpl w:val="CEDEB6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C047713"/>
    <w:multiLevelType w:val="hybridMultilevel"/>
    <w:tmpl w:val="C9486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271DF"/>
    <w:multiLevelType w:val="hybridMultilevel"/>
    <w:tmpl w:val="91F849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72D38"/>
    <w:multiLevelType w:val="hybridMultilevel"/>
    <w:tmpl w:val="D68C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063E3E"/>
    <w:multiLevelType w:val="hybridMultilevel"/>
    <w:tmpl w:val="31A85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D3089"/>
    <w:multiLevelType w:val="multilevel"/>
    <w:tmpl w:val="2EF86032"/>
    <w:lvl w:ilvl="0">
      <w:start w:val="1"/>
      <w:numFmt w:val="decimal"/>
      <w:lvlText w:val="%1."/>
      <w:lvlJc w:val="left"/>
      <w:pPr>
        <w:ind w:left="360" w:hanging="360"/>
      </w:pPr>
    </w:lvl>
    <w:lvl w:ilvl="1">
      <w:start w:val="1"/>
      <w:numFmt w:val="decimal"/>
      <w:lvlText w:val="5.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0E53F8"/>
    <w:multiLevelType w:val="hybridMultilevel"/>
    <w:tmpl w:val="C63C6ED0"/>
    <w:lvl w:ilvl="0" w:tplc="FA5A05CC">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E71F4F"/>
    <w:multiLevelType w:val="hybridMultilevel"/>
    <w:tmpl w:val="C7B4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82666D"/>
    <w:multiLevelType w:val="hybridMultilevel"/>
    <w:tmpl w:val="6CA2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408FE"/>
    <w:multiLevelType w:val="hybridMultilevel"/>
    <w:tmpl w:val="54F82980"/>
    <w:lvl w:ilvl="0" w:tplc="7D106194">
      <w:start w:val="10"/>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30234B"/>
    <w:multiLevelType w:val="hybridMultilevel"/>
    <w:tmpl w:val="30D01FE0"/>
    <w:lvl w:ilvl="0" w:tplc="19F400FC">
      <w:start w:val="1"/>
      <w:numFmt w:val="decimal"/>
      <w:lvlText w:val="%1."/>
      <w:lvlJc w:val="left"/>
      <w:pPr>
        <w:ind w:left="786" w:hanging="360"/>
      </w:pPr>
      <w:rPr>
        <w:rFonts w:hint="default"/>
        <w:b/>
      </w:rPr>
    </w:lvl>
    <w:lvl w:ilvl="1" w:tplc="0809000F">
      <w:start w:val="1"/>
      <w:numFmt w:val="decimal"/>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AB2F51"/>
    <w:multiLevelType w:val="hybridMultilevel"/>
    <w:tmpl w:val="02EC71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0F32A0"/>
    <w:multiLevelType w:val="hybridMultilevel"/>
    <w:tmpl w:val="9ECEE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9C2ABC"/>
    <w:multiLevelType w:val="hybridMultilevel"/>
    <w:tmpl w:val="3BCA2904"/>
    <w:lvl w:ilvl="0" w:tplc="BC12828A">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EF6E46"/>
    <w:multiLevelType w:val="hybridMultilevel"/>
    <w:tmpl w:val="7242D9FE"/>
    <w:lvl w:ilvl="0" w:tplc="0809000F">
      <w:start w:val="1"/>
      <w:numFmt w:val="decimal"/>
      <w:pStyle w:val="Epworth-Body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5414345">
    <w:abstractNumId w:val="19"/>
  </w:num>
  <w:num w:numId="2" w16cid:durableId="2035493920">
    <w:abstractNumId w:val="23"/>
  </w:num>
  <w:num w:numId="3" w16cid:durableId="1893270383">
    <w:abstractNumId w:val="0"/>
  </w:num>
  <w:num w:numId="4" w16cid:durableId="875430319">
    <w:abstractNumId w:val="2"/>
  </w:num>
  <w:num w:numId="5" w16cid:durableId="231933221">
    <w:abstractNumId w:val="4"/>
  </w:num>
  <w:num w:numId="6" w16cid:durableId="1438865194">
    <w:abstractNumId w:val="18"/>
  </w:num>
  <w:num w:numId="7" w16cid:durableId="1564869235">
    <w:abstractNumId w:val="5"/>
  </w:num>
  <w:num w:numId="8" w16cid:durableId="483081587">
    <w:abstractNumId w:val="27"/>
  </w:num>
  <w:num w:numId="9" w16cid:durableId="383607563">
    <w:abstractNumId w:val="22"/>
  </w:num>
  <w:num w:numId="10" w16cid:durableId="1620146328">
    <w:abstractNumId w:val="11"/>
  </w:num>
  <w:num w:numId="11" w16cid:durableId="1075396303">
    <w:abstractNumId w:val="9"/>
  </w:num>
  <w:num w:numId="12" w16cid:durableId="1229613390">
    <w:abstractNumId w:val="12"/>
  </w:num>
  <w:num w:numId="13" w16cid:durableId="331643667">
    <w:abstractNumId w:val="13"/>
  </w:num>
  <w:num w:numId="14" w16cid:durableId="1340427042">
    <w:abstractNumId w:val="8"/>
  </w:num>
  <w:num w:numId="15" w16cid:durableId="437793830">
    <w:abstractNumId w:val="8"/>
    <w:lvlOverride w:ilvl="0">
      <w:lvl w:ilvl="0">
        <w:start w:val="1"/>
        <w:numFmt w:val="decimal"/>
        <w:pStyle w:val="Epworth-SectionHeaderNumbered"/>
        <w:lvlText w:val="%1."/>
        <w:lvlJc w:val="left"/>
        <w:pPr>
          <w:ind w:left="360" w:hanging="360"/>
        </w:pPr>
        <w:rPr>
          <w:rFonts w:hint="default"/>
        </w:rPr>
      </w:lvl>
    </w:lvlOverride>
    <w:lvlOverride w:ilvl="1">
      <w:lvl w:ilvl="1">
        <w:start w:val="1"/>
        <w:numFmt w:val="decimal"/>
        <w:pStyle w:val="Epworth-Level1"/>
        <w:lvlText w:val="%1.%2"/>
        <w:lvlJc w:val="left"/>
        <w:pPr>
          <w:ind w:left="720" w:hanging="360"/>
        </w:pPr>
        <w:rPr>
          <w:rFonts w:hint="default"/>
        </w:rPr>
      </w:lvl>
    </w:lvlOverride>
    <w:lvlOverride w:ilvl="2">
      <w:lvl w:ilvl="2">
        <w:start w:val="1"/>
        <w:numFmt w:val="decimal"/>
        <w:pStyle w:val="Epworth-Level2"/>
        <w:lvlText w:val="%1.%2.%3"/>
        <w:lvlJc w:val="left"/>
        <w:pPr>
          <w:ind w:left="1080" w:hanging="360"/>
        </w:pPr>
        <w:rPr>
          <w:rFonts w:hint="default"/>
          <w:b/>
        </w:rPr>
      </w:lvl>
    </w:lvlOverride>
    <w:lvlOverride w:ilvl="3">
      <w:lvl w:ilvl="3">
        <w:start w:val="1"/>
        <w:numFmt w:val="lowerLetter"/>
        <w:pStyle w:val="Epworth-Level3"/>
        <w:lvlText w:val="(%4)"/>
        <w:lvlJc w:val="left"/>
        <w:pPr>
          <w:ind w:left="1440" w:hanging="360"/>
        </w:pPr>
        <w:rPr>
          <w:rFonts w:hint="default"/>
          <w:b w:val="0"/>
        </w:rPr>
      </w:lvl>
    </w:lvlOverride>
    <w:lvlOverride w:ilvl="4">
      <w:lvl w:ilvl="4">
        <w:start w:val="1"/>
        <w:numFmt w:val="lowerRoman"/>
        <w:pStyle w:val="Epworth-Level4"/>
        <w:lvlText w:val="(%5)"/>
        <w:lvlJc w:val="left"/>
        <w:pPr>
          <w:ind w:left="1800" w:hanging="360"/>
        </w:pPr>
        <w:rPr>
          <w:rFonts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737893415">
    <w:abstractNumId w:val="8"/>
    <w:lvlOverride w:ilvl="0">
      <w:startOverride w:val="1"/>
      <w:lvl w:ilvl="0">
        <w:start w:val="1"/>
        <w:numFmt w:val="decimal"/>
        <w:pStyle w:val="Epworth-SectionHeaderNumbered"/>
        <w:lvlText w:val="%1."/>
        <w:lvlJc w:val="left"/>
        <w:pPr>
          <w:ind w:left="360" w:hanging="360"/>
        </w:pPr>
        <w:rPr>
          <w:rFonts w:hint="default"/>
        </w:rPr>
      </w:lvl>
    </w:lvlOverride>
    <w:lvlOverride w:ilvl="1">
      <w:startOverride w:val="1"/>
      <w:lvl w:ilvl="1">
        <w:start w:val="1"/>
        <w:numFmt w:val="decimal"/>
        <w:pStyle w:val="Epworth-Level1"/>
        <w:lvlText w:val="%1.%2"/>
        <w:lvlJc w:val="left"/>
        <w:pPr>
          <w:ind w:left="720" w:hanging="360"/>
        </w:pPr>
        <w:rPr>
          <w:rFonts w:hint="default"/>
        </w:rPr>
      </w:lvl>
    </w:lvlOverride>
    <w:lvlOverride w:ilvl="2">
      <w:startOverride w:val="1"/>
      <w:lvl w:ilvl="2">
        <w:start w:val="1"/>
        <w:numFmt w:val="decimal"/>
        <w:pStyle w:val="Epworth-Level2"/>
        <w:lvlText w:val="%1.%2.%3"/>
        <w:lvlJc w:val="left"/>
        <w:pPr>
          <w:ind w:left="1080" w:hanging="360"/>
        </w:pPr>
        <w:rPr>
          <w:rFonts w:hint="default"/>
          <w:b/>
        </w:rPr>
      </w:lvl>
    </w:lvlOverride>
    <w:lvlOverride w:ilvl="3">
      <w:startOverride w:val="1"/>
      <w:lvl w:ilvl="3">
        <w:start w:val="1"/>
        <w:numFmt w:val="lowerLetter"/>
        <w:pStyle w:val="Epworth-Level3"/>
        <w:lvlText w:val="(%4)"/>
        <w:lvlJc w:val="left"/>
        <w:pPr>
          <w:ind w:left="1440" w:hanging="360"/>
        </w:pPr>
        <w:rPr>
          <w:rFonts w:hint="default"/>
          <w:b w:val="0"/>
        </w:rPr>
      </w:lvl>
    </w:lvlOverride>
    <w:lvlOverride w:ilvl="4">
      <w:startOverride w:val="1"/>
      <w:lvl w:ilvl="4">
        <w:start w:val="1"/>
        <w:numFmt w:val="lowerRoman"/>
        <w:pStyle w:val="Epworth-Level4"/>
        <w:lvlText w:val="(%5)"/>
        <w:lvlJc w:val="left"/>
        <w:pPr>
          <w:ind w:left="1800" w:hanging="360"/>
        </w:pPr>
        <w:rPr>
          <w:rFonts w:hint="default"/>
        </w:rPr>
      </w:lvl>
    </w:lvlOverride>
    <w:lvlOverride w:ilvl="5">
      <w:startOverride w:val="1"/>
      <w:lvl w:ilvl="5">
        <w:start w:val="1"/>
        <w:numFmt w:val="bullet"/>
        <w:lvlText w:val=""/>
        <w:lvlJc w:val="left"/>
        <w:pPr>
          <w:ind w:left="2160" w:hanging="360"/>
        </w:pPr>
        <w:rPr>
          <w:rFonts w:ascii="Wingdings" w:hAnsi="Wingding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5140361">
    <w:abstractNumId w:val="6"/>
  </w:num>
  <w:num w:numId="18" w16cid:durableId="993920976">
    <w:abstractNumId w:val="10"/>
  </w:num>
  <w:num w:numId="19" w16cid:durableId="1547370515">
    <w:abstractNumId w:val="14"/>
  </w:num>
  <w:num w:numId="20" w16cid:durableId="1878272428">
    <w:abstractNumId w:val="15"/>
  </w:num>
  <w:num w:numId="21" w16cid:durableId="1424186015">
    <w:abstractNumId w:val="1"/>
  </w:num>
  <w:num w:numId="22" w16cid:durableId="1259680054">
    <w:abstractNumId w:val="17"/>
  </w:num>
  <w:num w:numId="23" w16cid:durableId="616840515">
    <w:abstractNumId w:val="3"/>
  </w:num>
  <w:num w:numId="24" w16cid:durableId="928389582">
    <w:abstractNumId w:val="21"/>
  </w:num>
  <w:num w:numId="25" w16cid:durableId="1621493424">
    <w:abstractNumId w:val="7"/>
  </w:num>
  <w:num w:numId="26" w16cid:durableId="984314233">
    <w:abstractNumId w:val="24"/>
  </w:num>
  <w:num w:numId="27" w16cid:durableId="1350571901">
    <w:abstractNumId w:val="25"/>
  </w:num>
  <w:num w:numId="28" w16cid:durableId="1571578018">
    <w:abstractNumId w:val="20"/>
  </w:num>
  <w:num w:numId="29" w16cid:durableId="434204644">
    <w:abstractNumId w:val="16"/>
  </w:num>
  <w:num w:numId="30" w16cid:durableId="10221247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4F"/>
    <w:rsid w:val="00000A12"/>
    <w:rsid w:val="00006A44"/>
    <w:rsid w:val="000153B7"/>
    <w:rsid w:val="00015844"/>
    <w:rsid w:val="00024611"/>
    <w:rsid w:val="0002508F"/>
    <w:rsid w:val="0002557B"/>
    <w:rsid w:val="00030D30"/>
    <w:rsid w:val="00031F93"/>
    <w:rsid w:val="00035B4A"/>
    <w:rsid w:val="00036F52"/>
    <w:rsid w:val="00043438"/>
    <w:rsid w:val="000577AE"/>
    <w:rsid w:val="00062A2F"/>
    <w:rsid w:val="00063FA9"/>
    <w:rsid w:val="00067904"/>
    <w:rsid w:val="0007368E"/>
    <w:rsid w:val="000758F0"/>
    <w:rsid w:val="00080D92"/>
    <w:rsid w:val="00082F65"/>
    <w:rsid w:val="00085A36"/>
    <w:rsid w:val="000862EC"/>
    <w:rsid w:val="00095981"/>
    <w:rsid w:val="000B4531"/>
    <w:rsid w:val="000C2DBA"/>
    <w:rsid w:val="000D00B3"/>
    <w:rsid w:val="000D067A"/>
    <w:rsid w:val="000D759C"/>
    <w:rsid w:val="000E1BCC"/>
    <w:rsid w:val="000E2C05"/>
    <w:rsid w:val="000E766C"/>
    <w:rsid w:val="000E78B8"/>
    <w:rsid w:val="000E7E8C"/>
    <w:rsid w:val="000F0919"/>
    <w:rsid w:val="000F2503"/>
    <w:rsid w:val="000F5740"/>
    <w:rsid w:val="00130AA0"/>
    <w:rsid w:val="00133F91"/>
    <w:rsid w:val="00136E8B"/>
    <w:rsid w:val="00140E23"/>
    <w:rsid w:val="00143C34"/>
    <w:rsid w:val="00157AB8"/>
    <w:rsid w:val="00160F81"/>
    <w:rsid w:val="00165AC8"/>
    <w:rsid w:val="001664AE"/>
    <w:rsid w:val="00167FC6"/>
    <w:rsid w:val="00170F18"/>
    <w:rsid w:val="00176D2D"/>
    <w:rsid w:val="001811E8"/>
    <w:rsid w:val="0018218D"/>
    <w:rsid w:val="001A2ED6"/>
    <w:rsid w:val="001A3EE3"/>
    <w:rsid w:val="001A4920"/>
    <w:rsid w:val="001B3167"/>
    <w:rsid w:val="001C1728"/>
    <w:rsid w:val="001C66BF"/>
    <w:rsid w:val="001C6AB5"/>
    <w:rsid w:val="001E251F"/>
    <w:rsid w:val="001E3198"/>
    <w:rsid w:val="001E5D3E"/>
    <w:rsid w:val="001F35E4"/>
    <w:rsid w:val="002140AC"/>
    <w:rsid w:val="0021522A"/>
    <w:rsid w:val="002271FD"/>
    <w:rsid w:val="00230C82"/>
    <w:rsid w:val="002344C0"/>
    <w:rsid w:val="002355F1"/>
    <w:rsid w:val="002367BF"/>
    <w:rsid w:val="00240058"/>
    <w:rsid w:val="002407FA"/>
    <w:rsid w:val="00242851"/>
    <w:rsid w:val="00246333"/>
    <w:rsid w:val="00253003"/>
    <w:rsid w:val="00253B34"/>
    <w:rsid w:val="00256768"/>
    <w:rsid w:val="00257EF6"/>
    <w:rsid w:val="00261C09"/>
    <w:rsid w:val="00264AD7"/>
    <w:rsid w:val="002736E8"/>
    <w:rsid w:val="002900A9"/>
    <w:rsid w:val="0029013F"/>
    <w:rsid w:val="00291398"/>
    <w:rsid w:val="002975F9"/>
    <w:rsid w:val="002A0F33"/>
    <w:rsid w:val="002B0CA5"/>
    <w:rsid w:val="002B6EE5"/>
    <w:rsid w:val="002C2C5C"/>
    <w:rsid w:val="002C37A6"/>
    <w:rsid w:val="002C5E58"/>
    <w:rsid w:val="002D1F7A"/>
    <w:rsid w:val="002F2F24"/>
    <w:rsid w:val="002F512B"/>
    <w:rsid w:val="00300809"/>
    <w:rsid w:val="0030137B"/>
    <w:rsid w:val="0031146F"/>
    <w:rsid w:val="00315C17"/>
    <w:rsid w:val="00317935"/>
    <w:rsid w:val="00330D04"/>
    <w:rsid w:val="00334149"/>
    <w:rsid w:val="0033486F"/>
    <w:rsid w:val="003372A9"/>
    <w:rsid w:val="0033798E"/>
    <w:rsid w:val="00343C72"/>
    <w:rsid w:val="003502CF"/>
    <w:rsid w:val="003514D8"/>
    <w:rsid w:val="00353B12"/>
    <w:rsid w:val="00360930"/>
    <w:rsid w:val="003660DB"/>
    <w:rsid w:val="0037316C"/>
    <w:rsid w:val="00376873"/>
    <w:rsid w:val="003862AB"/>
    <w:rsid w:val="00387083"/>
    <w:rsid w:val="003924E0"/>
    <w:rsid w:val="0039354B"/>
    <w:rsid w:val="003A360E"/>
    <w:rsid w:val="003B3C2E"/>
    <w:rsid w:val="003D53CB"/>
    <w:rsid w:val="003E181B"/>
    <w:rsid w:val="003F10B0"/>
    <w:rsid w:val="003F1550"/>
    <w:rsid w:val="003F6E1E"/>
    <w:rsid w:val="00400DFF"/>
    <w:rsid w:val="0041656A"/>
    <w:rsid w:val="00417D03"/>
    <w:rsid w:val="00421D23"/>
    <w:rsid w:val="00431C17"/>
    <w:rsid w:val="00433AA7"/>
    <w:rsid w:val="00434E5D"/>
    <w:rsid w:val="004456B6"/>
    <w:rsid w:val="00445DD6"/>
    <w:rsid w:val="004471AB"/>
    <w:rsid w:val="004476E0"/>
    <w:rsid w:val="004505C2"/>
    <w:rsid w:val="004525F1"/>
    <w:rsid w:val="0045407E"/>
    <w:rsid w:val="0046123C"/>
    <w:rsid w:val="0046696A"/>
    <w:rsid w:val="00471A2E"/>
    <w:rsid w:val="00486137"/>
    <w:rsid w:val="00486F57"/>
    <w:rsid w:val="00496EDD"/>
    <w:rsid w:val="004A5C7E"/>
    <w:rsid w:val="004A7799"/>
    <w:rsid w:val="004B2E93"/>
    <w:rsid w:val="004B3C65"/>
    <w:rsid w:val="004D12E4"/>
    <w:rsid w:val="004F2C78"/>
    <w:rsid w:val="004F470B"/>
    <w:rsid w:val="004F6E65"/>
    <w:rsid w:val="004F711B"/>
    <w:rsid w:val="004F7339"/>
    <w:rsid w:val="0050081D"/>
    <w:rsid w:val="00503FF1"/>
    <w:rsid w:val="0051400F"/>
    <w:rsid w:val="00524FF6"/>
    <w:rsid w:val="00533508"/>
    <w:rsid w:val="005408E7"/>
    <w:rsid w:val="00543301"/>
    <w:rsid w:val="0054340A"/>
    <w:rsid w:val="00544850"/>
    <w:rsid w:val="00553880"/>
    <w:rsid w:val="0056533A"/>
    <w:rsid w:val="0057233F"/>
    <w:rsid w:val="00583114"/>
    <w:rsid w:val="005844BD"/>
    <w:rsid w:val="00585BE6"/>
    <w:rsid w:val="0058715F"/>
    <w:rsid w:val="005909D9"/>
    <w:rsid w:val="005A09C0"/>
    <w:rsid w:val="005A2149"/>
    <w:rsid w:val="005A29A2"/>
    <w:rsid w:val="005A7F54"/>
    <w:rsid w:val="005B316A"/>
    <w:rsid w:val="005B5622"/>
    <w:rsid w:val="005B627C"/>
    <w:rsid w:val="005D2CC1"/>
    <w:rsid w:val="005E42BE"/>
    <w:rsid w:val="005E469E"/>
    <w:rsid w:val="006057C6"/>
    <w:rsid w:val="006066B4"/>
    <w:rsid w:val="0060748E"/>
    <w:rsid w:val="00607A3D"/>
    <w:rsid w:val="00625D44"/>
    <w:rsid w:val="006306D5"/>
    <w:rsid w:val="00634484"/>
    <w:rsid w:val="0065670D"/>
    <w:rsid w:val="006606DD"/>
    <w:rsid w:val="0066586B"/>
    <w:rsid w:val="00670FFD"/>
    <w:rsid w:val="00671B70"/>
    <w:rsid w:val="00674630"/>
    <w:rsid w:val="00675376"/>
    <w:rsid w:val="00680B53"/>
    <w:rsid w:val="006826B8"/>
    <w:rsid w:val="00682AF0"/>
    <w:rsid w:val="0068619E"/>
    <w:rsid w:val="006923EF"/>
    <w:rsid w:val="00694889"/>
    <w:rsid w:val="006957BE"/>
    <w:rsid w:val="006C34C8"/>
    <w:rsid w:val="006C6FEE"/>
    <w:rsid w:val="006D309C"/>
    <w:rsid w:val="006D48BF"/>
    <w:rsid w:val="006E44D8"/>
    <w:rsid w:val="006F13D9"/>
    <w:rsid w:val="006F19BB"/>
    <w:rsid w:val="006F2217"/>
    <w:rsid w:val="0070142A"/>
    <w:rsid w:val="007036B3"/>
    <w:rsid w:val="00705126"/>
    <w:rsid w:val="007070C2"/>
    <w:rsid w:val="00723370"/>
    <w:rsid w:val="00724E25"/>
    <w:rsid w:val="00734F83"/>
    <w:rsid w:val="00741035"/>
    <w:rsid w:val="00742C6E"/>
    <w:rsid w:val="00744FAB"/>
    <w:rsid w:val="0075046A"/>
    <w:rsid w:val="00757472"/>
    <w:rsid w:val="007717F3"/>
    <w:rsid w:val="00776266"/>
    <w:rsid w:val="00777D2F"/>
    <w:rsid w:val="00780C4F"/>
    <w:rsid w:val="00787B73"/>
    <w:rsid w:val="0079100C"/>
    <w:rsid w:val="0079517A"/>
    <w:rsid w:val="007A291E"/>
    <w:rsid w:val="007C08DA"/>
    <w:rsid w:val="007C1AF8"/>
    <w:rsid w:val="007C2E15"/>
    <w:rsid w:val="007C364D"/>
    <w:rsid w:val="007C4E76"/>
    <w:rsid w:val="007C61C4"/>
    <w:rsid w:val="007D3A59"/>
    <w:rsid w:val="007D44DA"/>
    <w:rsid w:val="007D5066"/>
    <w:rsid w:val="007D7A92"/>
    <w:rsid w:val="007F405B"/>
    <w:rsid w:val="008013F4"/>
    <w:rsid w:val="00804707"/>
    <w:rsid w:val="00831FA3"/>
    <w:rsid w:val="008401C8"/>
    <w:rsid w:val="00843A55"/>
    <w:rsid w:val="00845467"/>
    <w:rsid w:val="00854228"/>
    <w:rsid w:val="00855388"/>
    <w:rsid w:val="00864D27"/>
    <w:rsid w:val="00866789"/>
    <w:rsid w:val="0087063E"/>
    <w:rsid w:val="0087094F"/>
    <w:rsid w:val="008847F4"/>
    <w:rsid w:val="0088554E"/>
    <w:rsid w:val="00892780"/>
    <w:rsid w:val="008A11DF"/>
    <w:rsid w:val="008A3784"/>
    <w:rsid w:val="008A4992"/>
    <w:rsid w:val="008A7A05"/>
    <w:rsid w:val="008B48CC"/>
    <w:rsid w:val="008B664E"/>
    <w:rsid w:val="008C161E"/>
    <w:rsid w:val="008C3F3F"/>
    <w:rsid w:val="008C47AD"/>
    <w:rsid w:val="008C5BEC"/>
    <w:rsid w:val="008C7946"/>
    <w:rsid w:val="008D288F"/>
    <w:rsid w:val="008E0DCF"/>
    <w:rsid w:val="008F6A78"/>
    <w:rsid w:val="008F6B43"/>
    <w:rsid w:val="008F70E2"/>
    <w:rsid w:val="00902EFC"/>
    <w:rsid w:val="00911371"/>
    <w:rsid w:val="009241FB"/>
    <w:rsid w:val="009242B2"/>
    <w:rsid w:val="00932DD3"/>
    <w:rsid w:val="00932DDC"/>
    <w:rsid w:val="009357FC"/>
    <w:rsid w:val="00951EBE"/>
    <w:rsid w:val="009608E7"/>
    <w:rsid w:val="00966F70"/>
    <w:rsid w:val="009710E4"/>
    <w:rsid w:val="00972577"/>
    <w:rsid w:val="00974BD5"/>
    <w:rsid w:val="00974FED"/>
    <w:rsid w:val="009776B0"/>
    <w:rsid w:val="0097786C"/>
    <w:rsid w:val="00981005"/>
    <w:rsid w:val="00981804"/>
    <w:rsid w:val="0098472F"/>
    <w:rsid w:val="00990EB1"/>
    <w:rsid w:val="0099562B"/>
    <w:rsid w:val="009A233E"/>
    <w:rsid w:val="009A5308"/>
    <w:rsid w:val="009A7A5E"/>
    <w:rsid w:val="009B30E8"/>
    <w:rsid w:val="009B4A79"/>
    <w:rsid w:val="009B7A11"/>
    <w:rsid w:val="009C5874"/>
    <w:rsid w:val="009D5AEC"/>
    <w:rsid w:val="009D6375"/>
    <w:rsid w:val="009E2BA4"/>
    <w:rsid w:val="009E5F75"/>
    <w:rsid w:val="009E77B1"/>
    <w:rsid w:val="009F0DB0"/>
    <w:rsid w:val="009F3B53"/>
    <w:rsid w:val="009F54AD"/>
    <w:rsid w:val="009F5D86"/>
    <w:rsid w:val="009F5F96"/>
    <w:rsid w:val="00A07ADB"/>
    <w:rsid w:val="00A11A4F"/>
    <w:rsid w:val="00A14F5C"/>
    <w:rsid w:val="00A62B49"/>
    <w:rsid w:val="00A6368E"/>
    <w:rsid w:val="00A70757"/>
    <w:rsid w:val="00A759D5"/>
    <w:rsid w:val="00A815DB"/>
    <w:rsid w:val="00A83CCF"/>
    <w:rsid w:val="00A942BA"/>
    <w:rsid w:val="00AA08E7"/>
    <w:rsid w:val="00AA24FB"/>
    <w:rsid w:val="00AA7B19"/>
    <w:rsid w:val="00AB0EEA"/>
    <w:rsid w:val="00AC1A7B"/>
    <w:rsid w:val="00AC2A91"/>
    <w:rsid w:val="00AC591C"/>
    <w:rsid w:val="00AD3474"/>
    <w:rsid w:val="00AD6609"/>
    <w:rsid w:val="00B0356E"/>
    <w:rsid w:val="00B06ED7"/>
    <w:rsid w:val="00B208F9"/>
    <w:rsid w:val="00B23C38"/>
    <w:rsid w:val="00B23CAD"/>
    <w:rsid w:val="00B42ADE"/>
    <w:rsid w:val="00B43323"/>
    <w:rsid w:val="00B500C8"/>
    <w:rsid w:val="00B57845"/>
    <w:rsid w:val="00B60B49"/>
    <w:rsid w:val="00B7229B"/>
    <w:rsid w:val="00B722F9"/>
    <w:rsid w:val="00B848CA"/>
    <w:rsid w:val="00B84BDA"/>
    <w:rsid w:val="00B866F6"/>
    <w:rsid w:val="00B94DED"/>
    <w:rsid w:val="00BA024A"/>
    <w:rsid w:val="00BA59BD"/>
    <w:rsid w:val="00BA6595"/>
    <w:rsid w:val="00BA7DDD"/>
    <w:rsid w:val="00BC0905"/>
    <w:rsid w:val="00BC0E2E"/>
    <w:rsid w:val="00BC1690"/>
    <w:rsid w:val="00BC2052"/>
    <w:rsid w:val="00BD5E7C"/>
    <w:rsid w:val="00BE048C"/>
    <w:rsid w:val="00BE1458"/>
    <w:rsid w:val="00BE3F6E"/>
    <w:rsid w:val="00BE4CE5"/>
    <w:rsid w:val="00BF01E8"/>
    <w:rsid w:val="00BF30E6"/>
    <w:rsid w:val="00BF6FAB"/>
    <w:rsid w:val="00C00780"/>
    <w:rsid w:val="00C00B02"/>
    <w:rsid w:val="00C05B60"/>
    <w:rsid w:val="00C153B4"/>
    <w:rsid w:val="00C20DF8"/>
    <w:rsid w:val="00C212CF"/>
    <w:rsid w:val="00C21C50"/>
    <w:rsid w:val="00C37E28"/>
    <w:rsid w:val="00C4146C"/>
    <w:rsid w:val="00C43998"/>
    <w:rsid w:val="00C46463"/>
    <w:rsid w:val="00C526A4"/>
    <w:rsid w:val="00C53229"/>
    <w:rsid w:val="00C5671B"/>
    <w:rsid w:val="00C75E06"/>
    <w:rsid w:val="00C80648"/>
    <w:rsid w:val="00C93685"/>
    <w:rsid w:val="00CA5F54"/>
    <w:rsid w:val="00CB03D4"/>
    <w:rsid w:val="00CB2E20"/>
    <w:rsid w:val="00CC054F"/>
    <w:rsid w:val="00CC120C"/>
    <w:rsid w:val="00CC496B"/>
    <w:rsid w:val="00CE39B4"/>
    <w:rsid w:val="00CE643B"/>
    <w:rsid w:val="00CF0B43"/>
    <w:rsid w:val="00CF7A0A"/>
    <w:rsid w:val="00D113E2"/>
    <w:rsid w:val="00D14A0E"/>
    <w:rsid w:val="00D15487"/>
    <w:rsid w:val="00D16398"/>
    <w:rsid w:val="00D238A6"/>
    <w:rsid w:val="00D2599C"/>
    <w:rsid w:val="00D274BF"/>
    <w:rsid w:val="00D27513"/>
    <w:rsid w:val="00D34EC6"/>
    <w:rsid w:val="00D4553F"/>
    <w:rsid w:val="00D45B75"/>
    <w:rsid w:val="00D557E2"/>
    <w:rsid w:val="00D655EE"/>
    <w:rsid w:val="00D657D6"/>
    <w:rsid w:val="00D75E5B"/>
    <w:rsid w:val="00D76510"/>
    <w:rsid w:val="00D8059D"/>
    <w:rsid w:val="00D8559E"/>
    <w:rsid w:val="00D86571"/>
    <w:rsid w:val="00D93930"/>
    <w:rsid w:val="00D958CE"/>
    <w:rsid w:val="00D962B1"/>
    <w:rsid w:val="00DA2952"/>
    <w:rsid w:val="00DC27A4"/>
    <w:rsid w:val="00DD53A6"/>
    <w:rsid w:val="00E25BA3"/>
    <w:rsid w:val="00E274BB"/>
    <w:rsid w:val="00E36B88"/>
    <w:rsid w:val="00E43ED4"/>
    <w:rsid w:val="00E46A75"/>
    <w:rsid w:val="00E47488"/>
    <w:rsid w:val="00E47860"/>
    <w:rsid w:val="00E527BD"/>
    <w:rsid w:val="00E66DC7"/>
    <w:rsid w:val="00E66EE5"/>
    <w:rsid w:val="00E70C7B"/>
    <w:rsid w:val="00E73D68"/>
    <w:rsid w:val="00E76EDC"/>
    <w:rsid w:val="00E825A7"/>
    <w:rsid w:val="00E87F35"/>
    <w:rsid w:val="00E92C05"/>
    <w:rsid w:val="00EA05F6"/>
    <w:rsid w:val="00EA0FDC"/>
    <w:rsid w:val="00EA3318"/>
    <w:rsid w:val="00EA3A30"/>
    <w:rsid w:val="00EA3D0F"/>
    <w:rsid w:val="00EA73CE"/>
    <w:rsid w:val="00EC32A5"/>
    <w:rsid w:val="00ED2459"/>
    <w:rsid w:val="00ED5ED2"/>
    <w:rsid w:val="00EE0A2B"/>
    <w:rsid w:val="00EE1017"/>
    <w:rsid w:val="00EE4E93"/>
    <w:rsid w:val="00EE5AC2"/>
    <w:rsid w:val="00EF2EF8"/>
    <w:rsid w:val="00EF329F"/>
    <w:rsid w:val="00EF41A2"/>
    <w:rsid w:val="00EF7CD7"/>
    <w:rsid w:val="00F01DB7"/>
    <w:rsid w:val="00F050FB"/>
    <w:rsid w:val="00F119B3"/>
    <w:rsid w:val="00F15EC9"/>
    <w:rsid w:val="00F2134C"/>
    <w:rsid w:val="00F213FC"/>
    <w:rsid w:val="00F26042"/>
    <w:rsid w:val="00F32DF3"/>
    <w:rsid w:val="00F50553"/>
    <w:rsid w:val="00F50B86"/>
    <w:rsid w:val="00F52D45"/>
    <w:rsid w:val="00F76573"/>
    <w:rsid w:val="00F76830"/>
    <w:rsid w:val="00F8390E"/>
    <w:rsid w:val="00F83CAD"/>
    <w:rsid w:val="00F83FEC"/>
    <w:rsid w:val="00FA22A4"/>
    <w:rsid w:val="00FA41E0"/>
    <w:rsid w:val="00FA4904"/>
    <w:rsid w:val="00FA5EC3"/>
    <w:rsid w:val="00FA64AF"/>
    <w:rsid w:val="00FA6EF2"/>
    <w:rsid w:val="00FB3B03"/>
    <w:rsid w:val="00FB7974"/>
    <w:rsid w:val="00FC2FE5"/>
    <w:rsid w:val="00FC6CD4"/>
    <w:rsid w:val="00FD6EDC"/>
    <w:rsid w:val="00FF020C"/>
    <w:rsid w:val="023DCBB0"/>
    <w:rsid w:val="02BA9735"/>
    <w:rsid w:val="03457E46"/>
    <w:rsid w:val="044510AC"/>
    <w:rsid w:val="062314B9"/>
    <w:rsid w:val="062A84C3"/>
    <w:rsid w:val="07483F7A"/>
    <w:rsid w:val="07A5CCA2"/>
    <w:rsid w:val="08594D4C"/>
    <w:rsid w:val="096F2541"/>
    <w:rsid w:val="0AE63331"/>
    <w:rsid w:val="0C373DFD"/>
    <w:rsid w:val="0D7E6148"/>
    <w:rsid w:val="0DFE2075"/>
    <w:rsid w:val="10132BB1"/>
    <w:rsid w:val="116A1F71"/>
    <w:rsid w:val="11B2CB8C"/>
    <w:rsid w:val="134E06E7"/>
    <w:rsid w:val="13D8929C"/>
    <w:rsid w:val="14A11FF4"/>
    <w:rsid w:val="15CE0D30"/>
    <w:rsid w:val="1603140B"/>
    <w:rsid w:val="16E727A0"/>
    <w:rsid w:val="17E5D48F"/>
    <w:rsid w:val="19FF90B6"/>
    <w:rsid w:val="1A3C2478"/>
    <w:rsid w:val="1B6C7D47"/>
    <w:rsid w:val="1CA893B6"/>
    <w:rsid w:val="1F39A8D7"/>
    <w:rsid w:val="2086FEE1"/>
    <w:rsid w:val="227FA627"/>
    <w:rsid w:val="23154D64"/>
    <w:rsid w:val="234143A8"/>
    <w:rsid w:val="26961637"/>
    <w:rsid w:val="29AC3D7F"/>
    <w:rsid w:val="2D268BC8"/>
    <w:rsid w:val="2D9CD69C"/>
    <w:rsid w:val="2DB91D58"/>
    <w:rsid w:val="2E06F8D3"/>
    <w:rsid w:val="2EC74A44"/>
    <w:rsid w:val="30137087"/>
    <w:rsid w:val="311D7CDE"/>
    <w:rsid w:val="333EBF15"/>
    <w:rsid w:val="3491E63C"/>
    <w:rsid w:val="351CB1FC"/>
    <w:rsid w:val="35A9AA6B"/>
    <w:rsid w:val="35C53D2F"/>
    <w:rsid w:val="3756FE50"/>
    <w:rsid w:val="380B7A20"/>
    <w:rsid w:val="387EB436"/>
    <w:rsid w:val="3B719B84"/>
    <w:rsid w:val="3DC9B1DF"/>
    <w:rsid w:val="3E565559"/>
    <w:rsid w:val="401C5C80"/>
    <w:rsid w:val="415027C2"/>
    <w:rsid w:val="42212867"/>
    <w:rsid w:val="424F60E8"/>
    <w:rsid w:val="465D156C"/>
    <w:rsid w:val="46FA2657"/>
    <w:rsid w:val="47BB49AE"/>
    <w:rsid w:val="47FBC952"/>
    <w:rsid w:val="482C8F91"/>
    <w:rsid w:val="48A91A91"/>
    <w:rsid w:val="48CA3FB6"/>
    <w:rsid w:val="48E17E90"/>
    <w:rsid w:val="4A4ED9D5"/>
    <w:rsid w:val="4A760EA8"/>
    <w:rsid w:val="4BF134EF"/>
    <w:rsid w:val="4BF99738"/>
    <w:rsid w:val="4CB9ED19"/>
    <w:rsid w:val="4E28D6CA"/>
    <w:rsid w:val="4FA768C1"/>
    <w:rsid w:val="53305DBD"/>
    <w:rsid w:val="53611A3A"/>
    <w:rsid w:val="542CFE4D"/>
    <w:rsid w:val="54FDA6D7"/>
    <w:rsid w:val="56651225"/>
    <w:rsid w:val="56DF5359"/>
    <w:rsid w:val="579ABA50"/>
    <w:rsid w:val="597A864E"/>
    <w:rsid w:val="59E041DC"/>
    <w:rsid w:val="5CAFAC11"/>
    <w:rsid w:val="62588586"/>
    <w:rsid w:val="6341E0E9"/>
    <w:rsid w:val="6429C58B"/>
    <w:rsid w:val="646AAD7D"/>
    <w:rsid w:val="654801CA"/>
    <w:rsid w:val="663DD8B6"/>
    <w:rsid w:val="687EA5C2"/>
    <w:rsid w:val="68BBFA79"/>
    <w:rsid w:val="6B1FC7D1"/>
    <w:rsid w:val="6CAA2800"/>
    <w:rsid w:val="6CF561B4"/>
    <w:rsid w:val="6D47B757"/>
    <w:rsid w:val="6E48E3A3"/>
    <w:rsid w:val="6E4F6262"/>
    <w:rsid w:val="6E60A3CA"/>
    <w:rsid w:val="6FD3DBE0"/>
    <w:rsid w:val="70502EE0"/>
    <w:rsid w:val="723F48A6"/>
    <w:rsid w:val="73273E5E"/>
    <w:rsid w:val="738FF8C6"/>
    <w:rsid w:val="748A81DA"/>
    <w:rsid w:val="74BC23F0"/>
    <w:rsid w:val="74D180F5"/>
    <w:rsid w:val="74E7ADC4"/>
    <w:rsid w:val="79D96A8F"/>
    <w:rsid w:val="7A0755A6"/>
    <w:rsid w:val="7A8B1788"/>
    <w:rsid w:val="7C6153AF"/>
    <w:rsid w:val="7DEF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011F"/>
  <w15:docId w15:val="{BD1E4513-2AC1-478B-AD16-7B211654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A59"/>
    <w:pPr>
      <w:ind w:left="720"/>
      <w:contextualSpacing/>
    </w:pPr>
    <w:rPr>
      <w:rFonts w:ascii="Calibri" w:eastAsia="Calibri" w:hAnsi="Calibri" w:cs="Times New Roman"/>
    </w:rPr>
  </w:style>
  <w:style w:type="table" w:styleId="TableGrid">
    <w:name w:val="Table Grid"/>
    <w:basedOn w:val="TableNormal"/>
    <w:rsid w:val="002736E8"/>
    <w:pPr>
      <w:spacing w:after="0" w:line="240" w:lineRule="auto"/>
    </w:pPr>
    <w:rPr>
      <w:rFonts w:ascii="Arial" w:eastAsia="Times New Roman" w:hAnsi="Arial" w:cs="Times New Roman"/>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804"/>
    <w:rPr>
      <w:color w:val="0000FF" w:themeColor="hyperlink"/>
      <w:u w:val="single"/>
    </w:rPr>
  </w:style>
  <w:style w:type="paragraph" w:styleId="BodyTextIndent2">
    <w:name w:val="Body Text Indent 2"/>
    <w:basedOn w:val="Normal"/>
    <w:link w:val="BodyTextIndent2Char"/>
    <w:rsid w:val="00966F70"/>
    <w:pPr>
      <w:tabs>
        <w:tab w:val="left" w:pos="567"/>
        <w:tab w:val="left" w:pos="1134"/>
        <w:tab w:val="decimal" w:pos="7230"/>
      </w:tabs>
      <w:spacing w:after="0" w:line="240" w:lineRule="auto"/>
      <w:ind w:left="570"/>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966F70"/>
    <w:rPr>
      <w:rFonts w:ascii="Arial" w:eastAsia="Times New Roman" w:hAnsi="Arial" w:cs="Times New Roman"/>
      <w:sz w:val="20"/>
      <w:szCs w:val="20"/>
    </w:rPr>
  </w:style>
  <w:style w:type="paragraph" w:styleId="Header">
    <w:name w:val="header"/>
    <w:basedOn w:val="Normal"/>
    <w:link w:val="HeaderChar"/>
    <w:rsid w:val="00D8559E"/>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D8559E"/>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D8559E"/>
    <w:pPr>
      <w:spacing w:after="120"/>
      <w:ind w:left="283"/>
    </w:pPr>
  </w:style>
  <w:style w:type="character" w:customStyle="1" w:styleId="BodyTextIndentChar">
    <w:name w:val="Body Text Indent Char"/>
    <w:basedOn w:val="DefaultParagraphFont"/>
    <w:link w:val="BodyTextIndent"/>
    <w:uiPriority w:val="99"/>
    <w:semiHidden/>
    <w:rsid w:val="00D8559E"/>
  </w:style>
  <w:style w:type="paragraph" w:styleId="BodyTextIndent3">
    <w:name w:val="Body Text Indent 3"/>
    <w:basedOn w:val="Normal"/>
    <w:link w:val="BodyTextIndent3Char"/>
    <w:uiPriority w:val="99"/>
    <w:semiHidden/>
    <w:unhideWhenUsed/>
    <w:rsid w:val="00AA7B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19"/>
    <w:rPr>
      <w:sz w:val="16"/>
      <w:szCs w:val="16"/>
    </w:rPr>
  </w:style>
  <w:style w:type="paragraph" w:customStyle="1" w:styleId="Body">
    <w:name w:val="Body"/>
    <w:basedOn w:val="Normal"/>
    <w:qFormat/>
    <w:locked/>
    <w:rsid w:val="000F0919"/>
    <w:pPr>
      <w:numPr>
        <w:numId w:val="13"/>
      </w:numPr>
      <w:tabs>
        <w:tab w:val="left" w:pos="1843"/>
        <w:tab w:val="left" w:pos="3119"/>
        <w:tab w:val="left" w:pos="4253"/>
      </w:tabs>
      <w:spacing w:after="240" w:line="240" w:lineRule="auto"/>
      <w:jc w:val="both"/>
    </w:pPr>
    <w:rPr>
      <w:rFonts w:ascii="Georgia" w:eastAsia="Times New Roman" w:hAnsi="Georgia" w:cs="Times New Roman"/>
      <w:sz w:val="20"/>
      <w:szCs w:val="18"/>
      <w:lang w:eastAsia="zh-CN"/>
    </w:rPr>
  </w:style>
  <w:style w:type="paragraph" w:customStyle="1" w:styleId="aDefinition">
    <w:name w:val="(a) Definition"/>
    <w:basedOn w:val="Body"/>
    <w:qFormat/>
    <w:locked/>
    <w:rsid w:val="000F0919"/>
    <w:pPr>
      <w:numPr>
        <w:ilvl w:val="1"/>
      </w:numPr>
      <w:tabs>
        <w:tab w:val="clear" w:pos="1843"/>
        <w:tab w:val="clear" w:pos="3119"/>
        <w:tab w:val="clear" w:pos="4253"/>
      </w:tabs>
    </w:pPr>
  </w:style>
  <w:style w:type="paragraph" w:customStyle="1" w:styleId="iDefinition">
    <w:name w:val="(i) Definition"/>
    <w:basedOn w:val="Body"/>
    <w:qFormat/>
    <w:locked/>
    <w:rsid w:val="000F0919"/>
    <w:pPr>
      <w:numPr>
        <w:ilvl w:val="2"/>
      </w:numPr>
      <w:tabs>
        <w:tab w:val="clear" w:pos="1843"/>
        <w:tab w:val="clear" w:pos="3119"/>
        <w:tab w:val="clear" w:pos="4253"/>
      </w:tabs>
    </w:pPr>
  </w:style>
  <w:style w:type="paragraph" w:customStyle="1" w:styleId="Body1">
    <w:name w:val="Body 1"/>
    <w:basedOn w:val="Body"/>
    <w:qFormat/>
    <w:locked/>
    <w:rsid w:val="000F0919"/>
    <w:pPr>
      <w:tabs>
        <w:tab w:val="clear" w:pos="1843"/>
        <w:tab w:val="clear" w:pos="3119"/>
        <w:tab w:val="clear" w:pos="4253"/>
      </w:tabs>
      <w:ind w:left="851"/>
    </w:pPr>
  </w:style>
  <w:style w:type="paragraph" w:customStyle="1" w:styleId="Epworth-SectionHeaderNumbered">
    <w:name w:val="Epworth - Section Header (Numbered)"/>
    <w:basedOn w:val="Normal"/>
    <w:qFormat/>
    <w:rsid w:val="000F0919"/>
    <w:pPr>
      <w:numPr>
        <w:numId w:val="14"/>
      </w:numPr>
      <w:spacing w:after="1200" w:line="240" w:lineRule="auto"/>
      <w:ind w:left="851" w:hanging="851"/>
    </w:pPr>
    <w:rPr>
      <w:rFonts w:ascii="Georgia" w:eastAsia="Times New Roman" w:hAnsi="Georgia" w:cs="Times New Roman"/>
      <w:color w:val="1893D2"/>
      <w:sz w:val="44"/>
      <w:szCs w:val="40"/>
      <w:lang w:eastAsia="en-GB"/>
    </w:rPr>
  </w:style>
  <w:style w:type="paragraph" w:customStyle="1" w:styleId="Epworth-Level1">
    <w:name w:val="Epworth - Level 1"/>
    <w:basedOn w:val="Epworth-SectionHeaderNumbered"/>
    <w:qFormat/>
    <w:rsid w:val="000F0919"/>
    <w:pPr>
      <w:numPr>
        <w:ilvl w:val="1"/>
      </w:numPr>
      <w:spacing w:afterLines="100" w:after="240"/>
      <w:ind w:left="851" w:hanging="851"/>
    </w:pPr>
    <w:rPr>
      <w:color w:val="706F6F"/>
      <w:sz w:val="18"/>
      <w:szCs w:val="18"/>
    </w:rPr>
  </w:style>
  <w:style w:type="paragraph" w:customStyle="1" w:styleId="Epworth-Level2">
    <w:name w:val="Epworth - Level 2"/>
    <w:basedOn w:val="Epworth-Level1"/>
    <w:qFormat/>
    <w:rsid w:val="000F0919"/>
    <w:pPr>
      <w:numPr>
        <w:ilvl w:val="2"/>
      </w:numPr>
      <w:tabs>
        <w:tab w:val="left" w:pos="1701"/>
      </w:tabs>
      <w:ind w:left="1701" w:hanging="839"/>
    </w:pPr>
    <w:rPr>
      <w:sz w:val="20"/>
    </w:rPr>
  </w:style>
  <w:style w:type="paragraph" w:customStyle="1" w:styleId="Epworth-Level3">
    <w:name w:val="Epworth - Level 3"/>
    <w:basedOn w:val="Epworth-Level2"/>
    <w:qFormat/>
    <w:rsid w:val="000F0919"/>
    <w:pPr>
      <w:numPr>
        <w:ilvl w:val="3"/>
      </w:numPr>
      <w:tabs>
        <w:tab w:val="left" w:pos="2552"/>
      </w:tabs>
      <w:spacing w:beforeLines="100" w:before="100" w:after="100"/>
      <w:ind w:left="2552" w:hanging="851"/>
    </w:pPr>
  </w:style>
  <w:style w:type="paragraph" w:customStyle="1" w:styleId="Epworth-Level2Title">
    <w:name w:val="Epworth - Level 2 (Title)"/>
    <w:basedOn w:val="Epworth-Level2"/>
    <w:qFormat/>
    <w:rsid w:val="000F0919"/>
    <w:pPr>
      <w:ind w:left="1080" w:hanging="360"/>
    </w:pPr>
    <w:rPr>
      <w:b/>
    </w:rPr>
  </w:style>
  <w:style w:type="paragraph" w:customStyle="1" w:styleId="Epworth-Level4">
    <w:name w:val="Epworth - Level 4"/>
    <w:basedOn w:val="Epworth-Level3"/>
    <w:qFormat/>
    <w:rsid w:val="000F0919"/>
    <w:pPr>
      <w:numPr>
        <w:ilvl w:val="4"/>
      </w:numPr>
      <w:tabs>
        <w:tab w:val="clear" w:pos="2552"/>
        <w:tab w:val="left" w:pos="3402"/>
      </w:tabs>
      <w:ind w:left="3402" w:hanging="851"/>
    </w:pPr>
  </w:style>
  <w:style w:type="paragraph" w:customStyle="1" w:styleId="Epworth-Body3">
    <w:name w:val="Epworth - Body 3"/>
    <w:basedOn w:val="Normal"/>
    <w:qFormat/>
    <w:rsid w:val="000F0919"/>
    <w:pPr>
      <w:numPr>
        <w:numId w:val="8"/>
      </w:numPr>
      <w:tabs>
        <w:tab w:val="left" w:pos="1701"/>
      </w:tabs>
      <w:spacing w:afterLines="100" w:after="240" w:line="240" w:lineRule="auto"/>
      <w:ind w:left="1701"/>
      <w:jc w:val="both"/>
    </w:pPr>
    <w:rPr>
      <w:rFonts w:ascii="Georgia" w:eastAsia="Times New Roman" w:hAnsi="Georgia" w:cs="Times New Roman"/>
      <w:color w:val="706F6F"/>
      <w:sz w:val="20"/>
      <w:szCs w:val="18"/>
      <w:lang w:eastAsia="zh-CN"/>
    </w:rPr>
  </w:style>
  <w:style w:type="paragraph" w:customStyle="1" w:styleId="Epworth-Level1Title">
    <w:name w:val="Epworth - Level 1 (Title)"/>
    <w:basedOn w:val="Epworth-Level1"/>
    <w:qFormat/>
    <w:rsid w:val="00353B12"/>
    <w:pPr>
      <w:numPr>
        <w:ilvl w:val="0"/>
        <w:numId w:val="0"/>
      </w:numPr>
      <w:tabs>
        <w:tab w:val="left" w:pos="851"/>
      </w:tabs>
      <w:ind w:left="720" w:hanging="360"/>
    </w:pPr>
    <w:rPr>
      <w:b/>
      <w:color w:val="1893D2"/>
      <w:sz w:val="20"/>
    </w:rPr>
  </w:style>
  <w:style w:type="paragraph" w:styleId="Footer">
    <w:name w:val="footer"/>
    <w:basedOn w:val="Normal"/>
    <w:link w:val="FooterChar"/>
    <w:uiPriority w:val="99"/>
    <w:unhideWhenUsed/>
    <w:rsid w:val="008A1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1DF"/>
  </w:style>
  <w:style w:type="paragraph" w:styleId="BalloonText">
    <w:name w:val="Balloon Text"/>
    <w:basedOn w:val="Normal"/>
    <w:link w:val="BalloonTextChar"/>
    <w:uiPriority w:val="99"/>
    <w:semiHidden/>
    <w:unhideWhenUsed/>
    <w:rsid w:val="004B2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93"/>
    <w:rPr>
      <w:rFonts w:ascii="Tahoma" w:hAnsi="Tahoma" w:cs="Tahoma"/>
      <w:sz w:val="16"/>
      <w:szCs w:val="16"/>
    </w:rPr>
  </w:style>
  <w:style w:type="paragraph" w:styleId="Revision">
    <w:name w:val="Revision"/>
    <w:hidden/>
    <w:uiPriority w:val="99"/>
    <w:semiHidden/>
    <w:rsid w:val="00B0356E"/>
    <w:pPr>
      <w:spacing w:after="0" w:line="240" w:lineRule="auto"/>
    </w:pPr>
  </w:style>
  <w:style w:type="character" w:styleId="CommentReference">
    <w:name w:val="annotation reference"/>
    <w:basedOn w:val="DefaultParagraphFont"/>
    <w:uiPriority w:val="99"/>
    <w:semiHidden/>
    <w:unhideWhenUsed/>
    <w:rsid w:val="002271FD"/>
    <w:rPr>
      <w:sz w:val="16"/>
      <w:szCs w:val="16"/>
    </w:rPr>
  </w:style>
  <w:style w:type="paragraph" w:styleId="CommentText">
    <w:name w:val="annotation text"/>
    <w:basedOn w:val="Normal"/>
    <w:link w:val="CommentTextChar"/>
    <w:uiPriority w:val="99"/>
    <w:unhideWhenUsed/>
    <w:rsid w:val="002271FD"/>
    <w:pPr>
      <w:spacing w:line="240" w:lineRule="auto"/>
    </w:pPr>
    <w:rPr>
      <w:sz w:val="20"/>
      <w:szCs w:val="20"/>
    </w:rPr>
  </w:style>
  <w:style w:type="character" w:customStyle="1" w:styleId="CommentTextChar">
    <w:name w:val="Comment Text Char"/>
    <w:basedOn w:val="DefaultParagraphFont"/>
    <w:link w:val="CommentText"/>
    <w:uiPriority w:val="99"/>
    <w:rsid w:val="002271FD"/>
    <w:rPr>
      <w:sz w:val="20"/>
      <w:szCs w:val="20"/>
    </w:rPr>
  </w:style>
  <w:style w:type="paragraph" w:styleId="CommentSubject">
    <w:name w:val="annotation subject"/>
    <w:basedOn w:val="CommentText"/>
    <w:next w:val="CommentText"/>
    <w:link w:val="CommentSubjectChar"/>
    <w:uiPriority w:val="99"/>
    <w:semiHidden/>
    <w:unhideWhenUsed/>
    <w:rsid w:val="002271FD"/>
    <w:rPr>
      <w:b/>
      <w:bCs/>
    </w:rPr>
  </w:style>
  <w:style w:type="character" w:customStyle="1" w:styleId="CommentSubjectChar">
    <w:name w:val="Comment Subject Char"/>
    <w:basedOn w:val="CommentTextChar"/>
    <w:link w:val="CommentSubject"/>
    <w:uiPriority w:val="99"/>
    <w:semiHidden/>
    <w:rsid w:val="002271FD"/>
    <w:rPr>
      <w:b/>
      <w:bCs/>
      <w:sz w:val="20"/>
      <w:szCs w:val="20"/>
    </w:rPr>
  </w:style>
  <w:style w:type="paragraph" w:customStyle="1" w:styleId="TableParagraph">
    <w:name w:val="Table Paragraph"/>
    <w:basedOn w:val="Normal"/>
    <w:uiPriority w:val="1"/>
    <w:qFormat/>
    <w:rsid w:val="0098472F"/>
    <w:pPr>
      <w:widowControl w:val="0"/>
      <w:autoSpaceDE w:val="0"/>
      <w:autoSpaceDN w:val="0"/>
      <w:spacing w:before="34" w:after="0" w:line="240" w:lineRule="auto"/>
      <w:jc w:val="right"/>
    </w:pPr>
    <w:rPr>
      <w:rFonts w:ascii="Georgia" w:eastAsia="Georgia" w:hAnsi="Georgia" w:cs="Georgia"/>
      <w:lang w:val="en-US"/>
    </w:rPr>
  </w:style>
  <w:style w:type="character" w:styleId="UnresolvedMention">
    <w:name w:val="Unresolved Mention"/>
    <w:basedOn w:val="DefaultParagraphFont"/>
    <w:uiPriority w:val="99"/>
    <w:semiHidden/>
    <w:unhideWhenUsed/>
    <w:rsid w:val="00D958CE"/>
    <w:rPr>
      <w:color w:val="605E5C"/>
      <w:shd w:val="clear" w:color="auto" w:fill="E1DFDD"/>
    </w:rPr>
  </w:style>
  <w:style w:type="character" w:customStyle="1" w:styleId="cf01">
    <w:name w:val="cf01"/>
    <w:basedOn w:val="DefaultParagraphFont"/>
    <w:rsid w:val="005871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79892">
      <w:bodyDiv w:val="1"/>
      <w:marLeft w:val="0"/>
      <w:marRight w:val="0"/>
      <w:marTop w:val="0"/>
      <w:marBottom w:val="0"/>
      <w:divBdr>
        <w:top w:val="none" w:sz="0" w:space="0" w:color="auto"/>
        <w:left w:val="none" w:sz="0" w:space="0" w:color="auto"/>
        <w:bottom w:val="none" w:sz="0" w:space="0" w:color="auto"/>
        <w:right w:val="none" w:sz="0" w:space="0" w:color="auto"/>
      </w:divBdr>
    </w:div>
    <w:div w:id="926815450">
      <w:bodyDiv w:val="1"/>
      <w:marLeft w:val="0"/>
      <w:marRight w:val="0"/>
      <w:marTop w:val="0"/>
      <w:marBottom w:val="0"/>
      <w:divBdr>
        <w:top w:val="none" w:sz="0" w:space="0" w:color="auto"/>
        <w:left w:val="none" w:sz="0" w:space="0" w:color="auto"/>
        <w:bottom w:val="none" w:sz="0" w:space="0" w:color="auto"/>
        <w:right w:val="none" w:sz="0" w:space="0" w:color="auto"/>
      </w:divBdr>
    </w:div>
    <w:div w:id="17827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BMethodistChurch.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207858086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pworthim.com/vo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2078580860" TargetMode="External"/><Relationship Id="rId5" Type="http://schemas.openxmlformats.org/officeDocument/2006/relationships/numbering" Target="numbering.xml"/><Relationship Id="rId15" Type="http://schemas.openxmlformats.org/officeDocument/2006/relationships/hyperlink" Target="http://www.cfbmethodistchurch.org.uk/depositfun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worth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6abb70-e9a3-43c1-be4e-7e1804d126ee" xsi:nil="true"/>
    <lcf76f155ced4ddcb4097134ff3c332f xmlns="40e25c9a-3c30-41ab-a397-db60283b23f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4BED5C0AC1944FB9E185BCBBF9FF4C" ma:contentTypeVersion="14" ma:contentTypeDescription="Create a new document." ma:contentTypeScope="" ma:versionID="c29361a201111ef53d9a96c0da03c10d">
  <xsd:schema xmlns:xsd="http://www.w3.org/2001/XMLSchema" xmlns:xs="http://www.w3.org/2001/XMLSchema" xmlns:p="http://schemas.microsoft.com/office/2006/metadata/properties" xmlns:ns2="40e25c9a-3c30-41ab-a397-db60283b23fe" xmlns:ns3="2b6abb70-e9a3-43c1-be4e-7e1804d126ee" targetNamespace="http://schemas.microsoft.com/office/2006/metadata/properties" ma:root="true" ma:fieldsID="de1eab4d15ad59068daf1e9dd10cb9dc" ns2:_="" ns3:_="">
    <xsd:import namespace="40e25c9a-3c30-41ab-a397-db60283b23fe"/>
    <xsd:import namespace="2b6abb70-e9a3-43c1-be4e-7e1804d126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25c9a-3c30-41ab-a397-db60283b2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abb70-e9a3-43c1-be4e-7e1804d126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11911-791d-49c1-9d7b-450154810e92}" ma:internalName="TaxCatchAll" ma:showField="CatchAllData" ma:web="2b6abb70-e9a3-43c1-be4e-7e1804d12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4B1B4-DC05-4A11-971F-22E278EA569B}">
  <ds:schemaRefs>
    <ds:schemaRef ds:uri="http://schemas.microsoft.com/office/2006/metadata/properties"/>
    <ds:schemaRef ds:uri="http://schemas.microsoft.com/office/infopath/2007/PartnerControls"/>
    <ds:schemaRef ds:uri="2b6abb70-e9a3-43c1-be4e-7e1804d126ee"/>
    <ds:schemaRef ds:uri="40e25c9a-3c30-41ab-a397-db60283b23fe"/>
  </ds:schemaRefs>
</ds:datastoreItem>
</file>

<file path=customXml/itemProps2.xml><?xml version="1.0" encoding="utf-8"?>
<ds:datastoreItem xmlns:ds="http://schemas.openxmlformats.org/officeDocument/2006/customXml" ds:itemID="{3D1BD803-10E1-4ADD-9A19-DF8ADB1FE82B}">
  <ds:schemaRefs>
    <ds:schemaRef ds:uri="http://schemas.openxmlformats.org/officeDocument/2006/bibliography"/>
  </ds:schemaRefs>
</ds:datastoreItem>
</file>

<file path=customXml/itemProps3.xml><?xml version="1.0" encoding="utf-8"?>
<ds:datastoreItem xmlns:ds="http://schemas.openxmlformats.org/officeDocument/2006/customXml" ds:itemID="{15C164FA-F9E3-47E9-882C-85CA5E8336A7}">
  <ds:schemaRefs>
    <ds:schemaRef ds:uri="http://schemas.microsoft.com/sharepoint/v3/contenttype/forms"/>
  </ds:schemaRefs>
</ds:datastoreItem>
</file>

<file path=customXml/itemProps4.xml><?xml version="1.0" encoding="utf-8"?>
<ds:datastoreItem xmlns:ds="http://schemas.openxmlformats.org/officeDocument/2006/customXml" ds:itemID="{EDC75163-F796-4A83-8726-0B9330AC9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25c9a-3c30-41ab-a397-db60283b23fe"/>
    <ds:schemaRef ds:uri="2b6abb70-e9a3-43c1-be4e-7e1804d12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5262</Words>
  <Characters>26841</Characters>
  <Application>Microsoft Office Word</Application>
  <DocSecurity>0</DocSecurity>
  <Lines>789</Lines>
  <Paragraphs>411</Paragraphs>
  <ScaleCrop>false</ScaleCrop>
  <Company>Redinet</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Palmer</dc:creator>
  <cp:lastModifiedBy>David Palmer</cp:lastModifiedBy>
  <cp:revision>3</cp:revision>
  <cp:lastPrinted>2024-10-04T10:45:00Z</cp:lastPrinted>
  <dcterms:created xsi:type="dcterms:W3CDTF">2026-03-04T11:47:00Z</dcterms:created>
  <dcterms:modified xsi:type="dcterms:W3CDTF">2026-03-04T11:48:00Z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0x010100944BED5C0AC1944FB9E185BCBBF9FF4C</vt:lpwstr>
  </property>
  <property fmtid="{D5CDD505-2E9C-101B-9397-08002B2CF9AE}" pid="3" name="Order">
    <vt:r8>753800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docLang">
    <vt:lpwstr>en</vt:lpwstr>
  </property>
</Properties>
</file>